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51F" w:rsidRDefault="00EE0D6D">
      <w:pPr>
        <w:tabs>
          <w:tab w:val="left" w:pos="720"/>
          <w:tab w:val="left" w:pos="1440"/>
          <w:tab w:val="left" w:pos="2880"/>
          <w:tab w:val="left" w:pos="4320"/>
          <w:tab w:val="left" w:pos="8045"/>
        </w:tabs>
        <w:kinsoku w:val="0"/>
        <w:autoSpaceDE w:val="0"/>
        <w:autoSpaceDN w:val="0"/>
        <w:spacing w:beforeLines="20" w:before="48"/>
        <w:jc w:val="center"/>
        <w:rPr>
          <w:rFonts w:eastAsia="標楷體"/>
          <w:b/>
          <w:sz w:val="40"/>
          <w:szCs w:val="48"/>
        </w:rPr>
      </w:pPr>
      <w:r>
        <w:rPr>
          <w:rFonts w:eastAsia="標楷體" w:hAnsi="標楷體" w:hint="eastAsia"/>
          <w:b/>
          <w:sz w:val="40"/>
          <w:szCs w:val="48"/>
        </w:rPr>
        <w:t>國家科學及技術委員</w:t>
      </w:r>
    </w:p>
    <w:p w:rsidR="0087651F" w:rsidRPr="00E7622E" w:rsidRDefault="008437EB">
      <w:pPr>
        <w:tabs>
          <w:tab w:val="right" w:pos="7500"/>
        </w:tabs>
        <w:kinsoku w:val="0"/>
        <w:autoSpaceDE w:val="0"/>
        <w:autoSpaceDN w:val="0"/>
        <w:spacing w:beforeLines="20" w:before="48"/>
        <w:jc w:val="center"/>
        <w:rPr>
          <w:rFonts w:eastAsia="標楷體"/>
          <w:b/>
          <w:sz w:val="40"/>
        </w:rPr>
      </w:pPr>
      <w:proofErr w:type="gramStart"/>
      <w:r w:rsidRPr="00E7622E">
        <w:rPr>
          <w:rFonts w:eastAsia="標楷體"/>
          <w:b/>
          <w:sz w:val="40"/>
          <w:szCs w:val="48"/>
        </w:rPr>
        <w:t>1</w:t>
      </w:r>
      <w:r w:rsidR="008B431B" w:rsidRPr="00E7622E">
        <w:rPr>
          <w:rFonts w:eastAsia="標楷體" w:hint="eastAsia"/>
          <w:b/>
          <w:sz w:val="40"/>
          <w:szCs w:val="48"/>
        </w:rPr>
        <w:t>1</w:t>
      </w:r>
      <w:r w:rsidR="005414F4">
        <w:rPr>
          <w:rFonts w:eastAsia="標楷體"/>
          <w:b/>
          <w:sz w:val="40"/>
          <w:szCs w:val="48"/>
        </w:rPr>
        <w:t>4</w:t>
      </w:r>
      <w:proofErr w:type="gramEnd"/>
      <w:r w:rsidR="0087651F" w:rsidRPr="00E7622E">
        <w:rPr>
          <w:rFonts w:ascii="標楷體" w:eastAsia="標楷體" w:hAnsi="標楷體" w:hint="eastAsia"/>
          <w:b/>
          <w:sz w:val="40"/>
          <w:szCs w:val="48"/>
        </w:rPr>
        <w:t>年</w:t>
      </w:r>
      <w:r w:rsidR="0087651F" w:rsidRPr="00E7622E">
        <w:rPr>
          <w:rFonts w:eastAsia="標楷體" w:hAnsi="標楷體" w:hint="eastAsia"/>
          <w:b/>
          <w:sz w:val="40"/>
          <w:szCs w:val="48"/>
        </w:rPr>
        <w:t>度</w:t>
      </w:r>
      <w:r w:rsidR="0087651F" w:rsidRPr="00E7622E">
        <w:rPr>
          <w:rFonts w:eastAsia="標楷體" w:hAnsi="標楷體" w:hint="eastAsia"/>
          <w:b/>
          <w:bCs/>
          <w:sz w:val="40"/>
          <w:szCs w:val="44"/>
        </w:rPr>
        <w:t>補助大專校院</w:t>
      </w:r>
      <w:r w:rsidR="00F02337" w:rsidRPr="00E7622E">
        <w:rPr>
          <w:rFonts w:eastAsia="標楷體" w:hAnsi="標楷體" w:hint="eastAsia"/>
          <w:b/>
          <w:bCs/>
          <w:sz w:val="40"/>
          <w:szCs w:val="44"/>
        </w:rPr>
        <w:t>研究</w:t>
      </w:r>
      <w:r w:rsidR="0087651F" w:rsidRPr="00E7622E">
        <w:rPr>
          <w:rFonts w:eastAsia="標楷體" w:hAnsi="標楷體" w:hint="eastAsia"/>
          <w:b/>
          <w:bCs/>
          <w:sz w:val="40"/>
          <w:szCs w:val="44"/>
        </w:rPr>
        <w:t>獎勵</w:t>
      </w:r>
      <w:r w:rsidR="0087651F" w:rsidRPr="00E7622E">
        <w:rPr>
          <w:rFonts w:eastAsia="標楷體" w:hAnsi="標楷體"/>
          <w:b/>
          <w:bCs/>
          <w:sz w:val="40"/>
          <w:szCs w:val="44"/>
        </w:rPr>
        <w:t>申請</w:t>
      </w:r>
      <w:r w:rsidR="0087651F" w:rsidRPr="00E7622E">
        <w:rPr>
          <w:rFonts w:eastAsia="標楷體" w:hAnsi="標楷體" w:hint="eastAsia"/>
          <w:b/>
          <w:bCs/>
          <w:sz w:val="40"/>
          <w:szCs w:val="44"/>
        </w:rPr>
        <w:t>書</w:t>
      </w:r>
    </w:p>
    <w:p w:rsidR="0087651F" w:rsidRPr="00E7622E" w:rsidRDefault="0087651F">
      <w:pPr>
        <w:tabs>
          <w:tab w:val="left" w:pos="720"/>
          <w:tab w:val="left" w:pos="1440"/>
          <w:tab w:val="left" w:pos="2880"/>
          <w:tab w:val="left" w:pos="4320"/>
          <w:tab w:val="left" w:pos="8045"/>
        </w:tabs>
        <w:kinsoku w:val="0"/>
        <w:autoSpaceDE w:val="0"/>
        <w:autoSpaceDN w:val="0"/>
        <w:spacing w:beforeLines="20" w:before="48"/>
        <w:jc w:val="right"/>
        <w:rPr>
          <w:rFonts w:eastAsia="標楷體"/>
          <w:b/>
          <w:sz w:val="28"/>
        </w:rPr>
      </w:pPr>
    </w:p>
    <w:p w:rsidR="0087651F" w:rsidRPr="00E7622E" w:rsidRDefault="0087651F">
      <w:pPr>
        <w:adjustRightInd w:val="0"/>
        <w:spacing w:afterLines="30" w:after="72" w:line="500" w:lineRule="exact"/>
        <w:ind w:leftChars="-91" w:hangingChars="68" w:hanging="218"/>
        <w:rPr>
          <w:rFonts w:ascii="標楷體" w:eastAsia="標楷體"/>
          <w:b/>
          <w:spacing w:val="30"/>
          <w:sz w:val="32"/>
        </w:rPr>
      </w:pPr>
      <w:r w:rsidRPr="00E7622E">
        <w:rPr>
          <w:rFonts w:ascii="標楷體" w:eastAsia="標楷體" w:hAnsi="標楷體" w:hint="eastAsia"/>
          <w:b/>
          <w:sz w:val="32"/>
          <w:szCs w:val="32"/>
        </w:rPr>
        <w:t>一、基本資料：</w:t>
      </w:r>
    </w:p>
    <w:tbl>
      <w:tblPr>
        <w:tblW w:w="10184"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264"/>
        <w:gridCol w:w="2377"/>
        <w:gridCol w:w="2826"/>
        <w:gridCol w:w="2717"/>
      </w:tblGrid>
      <w:tr w:rsidR="0087651F" w:rsidRPr="00E7622E">
        <w:trPr>
          <w:trHeight w:val="1084"/>
          <w:jc w:val="center"/>
        </w:trPr>
        <w:tc>
          <w:tcPr>
            <w:tcW w:w="2264" w:type="dxa"/>
            <w:tcBorders>
              <w:top w:val="single" w:sz="4" w:space="0" w:color="auto"/>
              <w:left w:val="single" w:sz="4" w:space="0" w:color="auto"/>
              <w:bottom w:val="single" w:sz="4" w:space="0" w:color="auto"/>
              <w:right w:val="single" w:sz="4" w:space="0" w:color="auto"/>
            </w:tcBorders>
            <w:vAlign w:val="center"/>
          </w:tcPr>
          <w:p w:rsidR="0087651F" w:rsidRPr="00E7622E" w:rsidRDefault="0087651F">
            <w:pPr>
              <w:adjustRightInd w:val="0"/>
              <w:spacing w:line="240" w:lineRule="atLeast"/>
              <w:ind w:rightChars="20" w:right="48"/>
              <w:jc w:val="distribute"/>
              <w:rPr>
                <w:rFonts w:eastAsia="標楷體"/>
                <w:sz w:val="32"/>
                <w:szCs w:val="32"/>
              </w:rPr>
            </w:pPr>
            <w:r w:rsidRPr="00E7622E">
              <w:rPr>
                <w:rFonts w:eastAsia="標楷體" w:hint="eastAsia"/>
                <w:sz w:val="32"/>
                <w:szCs w:val="32"/>
              </w:rPr>
              <w:t>申請機構</w:t>
            </w:r>
          </w:p>
        </w:tc>
        <w:tc>
          <w:tcPr>
            <w:tcW w:w="7920" w:type="dxa"/>
            <w:gridSpan w:val="3"/>
            <w:tcBorders>
              <w:top w:val="single" w:sz="4" w:space="0" w:color="auto"/>
              <w:left w:val="single" w:sz="4" w:space="0" w:color="auto"/>
              <w:bottom w:val="single" w:sz="4" w:space="0" w:color="auto"/>
              <w:right w:val="single" w:sz="4" w:space="0" w:color="auto"/>
            </w:tcBorders>
            <w:vAlign w:val="center"/>
          </w:tcPr>
          <w:p w:rsidR="0087651F" w:rsidRPr="00E7622E" w:rsidRDefault="003A668F">
            <w:pPr>
              <w:adjustRightInd w:val="0"/>
              <w:spacing w:line="240" w:lineRule="atLeast"/>
              <w:jc w:val="both"/>
              <w:rPr>
                <w:rFonts w:eastAsia="標楷體"/>
                <w:sz w:val="28"/>
                <w:szCs w:val="28"/>
              </w:rPr>
            </w:pPr>
            <w:r>
              <w:rPr>
                <w:rFonts w:eastAsia="標楷體" w:hint="eastAsia"/>
                <w:sz w:val="28"/>
                <w:szCs w:val="28"/>
              </w:rPr>
              <w:t>中華</w:t>
            </w:r>
            <w:proofErr w:type="gramStart"/>
            <w:r>
              <w:rPr>
                <w:rFonts w:eastAsia="標楷體" w:hint="eastAsia"/>
                <w:sz w:val="28"/>
                <w:szCs w:val="28"/>
              </w:rPr>
              <w:t>醫</w:t>
            </w:r>
            <w:proofErr w:type="gramEnd"/>
            <w:r w:rsidR="00247057">
              <w:rPr>
                <w:rFonts w:eastAsia="標楷體" w:hint="eastAsia"/>
                <w:sz w:val="28"/>
                <w:szCs w:val="28"/>
              </w:rPr>
              <w:t>事</w:t>
            </w:r>
            <w:r>
              <w:rPr>
                <w:rFonts w:eastAsia="標楷體" w:hint="eastAsia"/>
                <w:sz w:val="28"/>
                <w:szCs w:val="28"/>
              </w:rPr>
              <w:t>科技大學</w:t>
            </w:r>
          </w:p>
        </w:tc>
      </w:tr>
      <w:tr w:rsidR="0087651F" w:rsidRPr="00E7622E">
        <w:trPr>
          <w:trHeight w:val="1085"/>
          <w:jc w:val="center"/>
        </w:trPr>
        <w:tc>
          <w:tcPr>
            <w:tcW w:w="2264" w:type="dxa"/>
            <w:tcBorders>
              <w:top w:val="single" w:sz="4" w:space="0" w:color="auto"/>
              <w:left w:val="single" w:sz="4" w:space="0" w:color="auto"/>
              <w:bottom w:val="single" w:sz="4" w:space="0" w:color="auto"/>
              <w:right w:val="single" w:sz="4" w:space="0" w:color="auto"/>
            </w:tcBorders>
            <w:vAlign w:val="center"/>
          </w:tcPr>
          <w:p w:rsidR="0087651F" w:rsidRPr="00E7622E" w:rsidRDefault="0087651F">
            <w:pPr>
              <w:adjustRightInd w:val="0"/>
              <w:spacing w:line="240" w:lineRule="atLeast"/>
              <w:jc w:val="distribute"/>
              <w:rPr>
                <w:rFonts w:eastAsia="標楷體"/>
                <w:spacing w:val="20"/>
                <w:sz w:val="20"/>
                <w:szCs w:val="20"/>
              </w:rPr>
            </w:pPr>
            <w:r w:rsidRPr="00E7622E">
              <w:rPr>
                <w:rFonts w:eastAsia="標楷體" w:hAnsi="標楷體" w:hint="eastAsia"/>
                <w:sz w:val="32"/>
                <w:szCs w:val="32"/>
              </w:rPr>
              <w:t>補助</w:t>
            </w:r>
            <w:r w:rsidRPr="00E7622E">
              <w:rPr>
                <w:rFonts w:eastAsia="標楷體" w:hAnsi="標楷體"/>
                <w:sz w:val="32"/>
                <w:szCs w:val="32"/>
              </w:rPr>
              <w:t>期間</w:t>
            </w:r>
          </w:p>
        </w:tc>
        <w:tc>
          <w:tcPr>
            <w:tcW w:w="7920" w:type="dxa"/>
            <w:gridSpan w:val="3"/>
            <w:tcBorders>
              <w:top w:val="single" w:sz="4" w:space="0" w:color="auto"/>
              <w:left w:val="single" w:sz="4" w:space="0" w:color="auto"/>
              <w:bottom w:val="single" w:sz="4" w:space="0" w:color="auto"/>
              <w:right w:val="single" w:sz="4" w:space="0" w:color="auto"/>
            </w:tcBorders>
            <w:vAlign w:val="center"/>
          </w:tcPr>
          <w:p w:rsidR="0087651F" w:rsidRPr="00E7622E" w:rsidRDefault="0087651F" w:rsidP="003420C4">
            <w:pPr>
              <w:adjustRightInd w:val="0"/>
              <w:spacing w:line="240" w:lineRule="atLeast"/>
              <w:jc w:val="both"/>
              <w:rPr>
                <w:rFonts w:eastAsia="標楷體"/>
                <w:sz w:val="22"/>
                <w:szCs w:val="20"/>
              </w:rPr>
            </w:pPr>
            <w:r w:rsidRPr="00E7622E">
              <w:rPr>
                <w:rFonts w:eastAsia="標楷體" w:hAnsi="標楷體" w:hint="eastAsia"/>
                <w:sz w:val="32"/>
                <w:szCs w:val="32"/>
              </w:rPr>
              <w:t>自民國</w:t>
            </w:r>
            <w:r w:rsidR="00A87990" w:rsidRPr="00E7622E">
              <w:rPr>
                <w:rFonts w:eastAsia="標楷體" w:hint="eastAsia"/>
                <w:sz w:val="32"/>
                <w:szCs w:val="32"/>
              </w:rPr>
              <w:t xml:space="preserve"> </w:t>
            </w:r>
            <w:r w:rsidR="00322D2A" w:rsidRPr="00E7622E">
              <w:rPr>
                <w:rFonts w:eastAsia="標楷體" w:hint="eastAsia"/>
                <w:sz w:val="32"/>
                <w:szCs w:val="32"/>
              </w:rPr>
              <w:t>1</w:t>
            </w:r>
            <w:r w:rsidR="008B431B" w:rsidRPr="00E7622E">
              <w:rPr>
                <w:rFonts w:eastAsia="標楷體" w:hint="eastAsia"/>
                <w:sz w:val="32"/>
                <w:szCs w:val="32"/>
              </w:rPr>
              <w:t>1</w:t>
            </w:r>
            <w:r w:rsidR="005414F4">
              <w:rPr>
                <w:rFonts w:eastAsia="標楷體"/>
                <w:sz w:val="32"/>
                <w:szCs w:val="32"/>
              </w:rPr>
              <w:t>4</w:t>
            </w:r>
            <w:r w:rsidR="00A87990" w:rsidRPr="00E7622E">
              <w:rPr>
                <w:rFonts w:eastAsia="標楷體" w:hint="eastAsia"/>
                <w:sz w:val="32"/>
                <w:szCs w:val="32"/>
              </w:rPr>
              <w:t xml:space="preserve"> </w:t>
            </w:r>
            <w:r w:rsidRPr="00E7622E">
              <w:rPr>
                <w:rFonts w:eastAsia="標楷體" w:hAnsi="標楷體"/>
                <w:sz w:val="32"/>
                <w:szCs w:val="32"/>
              </w:rPr>
              <w:t>年</w:t>
            </w:r>
            <w:r w:rsidRPr="00E7622E">
              <w:rPr>
                <w:rFonts w:eastAsia="標楷體"/>
                <w:sz w:val="32"/>
                <w:szCs w:val="32"/>
              </w:rPr>
              <w:t xml:space="preserve"> </w:t>
            </w:r>
            <w:r w:rsidR="008437EB" w:rsidRPr="00E7622E">
              <w:rPr>
                <w:rFonts w:eastAsia="標楷體" w:hint="eastAsia"/>
                <w:sz w:val="32"/>
                <w:szCs w:val="32"/>
              </w:rPr>
              <w:t>8</w:t>
            </w:r>
            <w:r w:rsidR="00A87990" w:rsidRPr="00E7622E">
              <w:rPr>
                <w:rFonts w:eastAsia="標楷體" w:hint="eastAsia"/>
                <w:sz w:val="32"/>
                <w:szCs w:val="32"/>
              </w:rPr>
              <w:t xml:space="preserve"> </w:t>
            </w:r>
            <w:r w:rsidRPr="00E7622E">
              <w:rPr>
                <w:rFonts w:eastAsia="標楷體" w:hAnsi="標楷體"/>
                <w:sz w:val="32"/>
                <w:szCs w:val="32"/>
              </w:rPr>
              <w:t>月</w:t>
            </w:r>
            <w:r w:rsidRPr="00E7622E">
              <w:rPr>
                <w:rFonts w:eastAsia="標楷體"/>
                <w:sz w:val="32"/>
                <w:szCs w:val="32"/>
              </w:rPr>
              <w:t xml:space="preserve"> </w:t>
            </w:r>
            <w:r w:rsidR="008437EB" w:rsidRPr="00E7622E">
              <w:rPr>
                <w:rFonts w:eastAsia="標楷體" w:hint="eastAsia"/>
                <w:sz w:val="32"/>
                <w:szCs w:val="32"/>
              </w:rPr>
              <w:t>1</w:t>
            </w:r>
            <w:r w:rsidR="00A87990" w:rsidRPr="00E7622E">
              <w:rPr>
                <w:rFonts w:eastAsia="標楷體" w:hint="eastAsia"/>
                <w:sz w:val="32"/>
                <w:szCs w:val="32"/>
              </w:rPr>
              <w:t xml:space="preserve"> </w:t>
            </w:r>
            <w:r w:rsidRPr="00E7622E">
              <w:rPr>
                <w:rFonts w:eastAsia="標楷體" w:hAnsi="標楷體"/>
                <w:sz w:val="32"/>
                <w:szCs w:val="32"/>
              </w:rPr>
              <w:t>日至</w:t>
            </w:r>
            <w:r w:rsidRPr="00E7622E">
              <w:rPr>
                <w:rFonts w:eastAsia="標楷體"/>
                <w:sz w:val="32"/>
                <w:szCs w:val="32"/>
              </w:rPr>
              <w:t xml:space="preserve"> </w:t>
            </w:r>
            <w:r w:rsidR="00004F70" w:rsidRPr="00E7622E">
              <w:rPr>
                <w:rFonts w:eastAsia="標楷體" w:hint="eastAsia"/>
                <w:sz w:val="32"/>
                <w:szCs w:val="32"/>
              </w:rPr>
              <w:t>1</w:t>
            </w:r>
            <w:r w:rsidR="003420C4" w:rsidRPr="00E7622E">
              <w:rPr>
                <w:rFonts w:eastAsia="標楷體" w:hint="eastAsia"/>
                <w:sz w:val="32"/>
                <w:szCs w:val="32"/>
              </w:rPr>
              <w:t>1</w:t>
            </w:r>
            <w:r w:rsidR="005414F4">
              <w:rPr>
                <w:rFonts w:eastAsia="標楷體"/>
                <w:sz w:val="32"/>
                <w:szCs w:val="32"/>
              </w:rPr>
              <w:t>5</w:t>
            </w:r>
            <w:r w:rsidRPr="00E7622E">
              <w:rPr>
                <w:rFonts w:eastAsia="標楷體" w:hAnsi="標楷體"/>
                <w:sz w:val="32"/>
                <w:szCs w:val="32"/>
              </w:rPr>
              <w:t>年</w:t>
            </w:r>
            <w:r w:rsidRPr="00E7622E">
              <w:rPr>
                <w:rFonts w:eastAsia="標楷體"/>
                <w:sz w:val="32"/>
                <w:szCs w:val="32"/>
              </w:rPr>
              <w:t xml:space="preserve"> </w:t>
            </w:r>
            <w:r w:rsidRPr="00E7622E">
              <w:rPr>
                <w:rFonts w:eastAsia="標楷體" w:hint="eastAsia"/>
                <w:sz w:val="32"/>
                <w:szCs w:val="32"/>
              </w:rPr>
              <w:t>7</w:t>
            </w:r>
            <w:r w:rsidRPr="00E7622E">
              <w:rPr>
                <w:rFonts w:eastAsia="標楷體"/>
                <w:sz w:val="32"/>
                <w:szCs w:val="32"/>
              </w:rPr>
              <w:t xml:space="preserve"> </w:t>
            </w:r>
            <w:r w:rsidRPr="00E7622E">
              <w:rPr>
                <w:rFonts w:eastAsia="標楷體" w:hAnsi="標楷體"/>
                <w:sz w:val="32"/>
                <w:szCs w:val="32"/>
              </w:rPr>
              <w:t>月</w:t>
            </w:r>
            <w:r w:rsidRPr="00E7622E">
              <w:rPr>
                <w:rFonts w:eastAsia="標楷體"/>
                <w:sz w:val="32"/>
                <w:szCs w:val="32"/>
              </w:rPr>
              <w:t xml:space="preserve"> </w:t>
            </w:r>
            <w:r w:rsidRPr="00E7622E">
              <w:rPr>
                <w:rFonts w:eastAsia="標楷體" w:hint="eastAsia"/>
                <w:sz w:val="32"/>
                <w:szCs w:val="32"/>
              </w:rPr>
              <w:t>31</w:t>
            </w:r>
            <w:r w:rsidRPr="00E7622E">
              <w:rPr>
                <w:rFonts w:eastAsia="標楷體" w:hAnsi="標楷體"/>
                <w:sz w:val="32"/>
                <w:szCs w:val="32"/>
              </w:rPr>
              <w:t>日止</w:t>
            </w:r>
          </w:p>
        </w:tc>
      </w:tr>
      <w:tr w:rsidR="0087651F" w:rsidRPr="00E7622E">
        <w:trPr>
          <w:trHeight w:val="1084"/>
          <w:jc w:val="center"/>
        </w:trPr>
        <w:tc>
          <w:tcPr>
            <w:tcW w:w="2264" w:type="dxa"/>
            <w:tcBorders>
              <w:top w:val="single" w:sz="4" w:space="0" w:color="auto"/>
              <w:left w:val="single" w:sz="4" w:space="0" w:color="auto"/>
              <w:bottom w:val="single" w:sz="4" w:space="0" w:color="auto"/>
              <w:right w:val="single" w:sz="4" w:space="0" w:color="auto"/>
            </w:tcBorders>
            <w:vAlign w:val="center"/>
          </w:tcPr>
          <w:p w:rsidR="0087651F" w:rsidRPr="00E7622E" w:rsidRDefault="0087651F">
            <w:pPr>
              <w:adjustRightInd w:val="0"/>
              <w:spacing w:line="240" w:lineRule="atLeast"/>
              <w:jc w:val="distribute"/>
              <w:rPr>
                <w:rFonts w:eastAsia="標楷體"/>
                <w:bCs/>
                <w:sz w:val="32"/>
                <w:szCs w:val="32"/>
              </w:rPr>
            </w:pPr>
            <w:r w:rsidRPr="00E7622E">
              <w:rPr>
                <w:rFonts w:eastAsia="標楷體" w:hint="eastAsia"/>
                <w:bCs/>
                <w:sz w:val="32"/>
                <w:szCs w:val="32"/>
              </w:rPr>
              <w:t>申請補助經費</w:t>
            </w:r>
          </w:p>
          <w:p w:rsidR="0087651F" w:rsidRPr="00E7622E" w:rsidRDefault="0087651F" w:rsidP="008437EB">
            <w:pPr>
              <w:adjustRightInd w:val="0"/>
              <w:spacing w:line="240" w:lineRule="atLeast"/>
              <w:jc w:val="distribute"/>
              <w:rPr>
                <w:rFonts w:eastAsia="標楷體" w:hAnsi="標楷體"/>
              </w:rPr>
            </w:pPr>
            <w:r w:rsidRPr="00E7622E">
              <w:rPr>
                <w:rFonts w:eastAsia="標楷體" w:hint="eastAsia"/>
                <w:bCs/>
              </w:rPr>
              <w:t>(</w:t>
            </w:r>
            <w:r w:rsidR="005A486D" w:rsidRPr="00E7622E">
              <w:rPr>
                <w:rFonts w:eastAsia="標楷體" w:hint="eastAsia"/>
                <w:bCs/>
              </w:rPr>
              <w:t>新臺</w:t>
            </w:r>
            <w:r w:rsidR="008437EB" w:rsidRPr="00E7622E">
              <w:rPr>
                <w:rFonts w:eastAsia="標楷體" w:hint="eastAsia"/>
                <w:bCs/>
              </w:rPr>
              <w:t>幣</w:t>
            </w:r>
            <w:r w:rsidRPr="00E7622E">
              <w:rPr>
                <w:rFonts w:eastAsia="標楷體" w:hint="eastAsia"/>
                <w:bCs/>
              </w:rPr>
              <w:t>元</w:t>
            </w:r>
            <w:r w:rsidRPr="00E7622E">
              <w:rPr>
                <w:rFonts w:eastAsia="標楷體" w:hint="eastAsia"/>
                <w:bCs/>
              </w:rPr>
              <w:t>)</w:t>
            </w:r>
          </w:p>
        </w:tc>
        <w:tc>
          <w:tcPr>
            <w:tcW w:w="7920" w:type="dxa"/>
            <w:gridSpan w:val="3"/>
            <w:tcBorders>
              <w:top w:val="single" w:sz="4" w:space="0" w:color="auto"/>
              <w:left w:val="single" w:sz="4" w:space="0" w:color="auto"/>
              <w:bottom w:val="single" w:sz="4" w:space="0" w:color="auto"/>
              <w:right w:val="single" w:sz="4" w:space="0" w:color="auto"/>
            </w:tcBorders>
            <w:vAlign w:val="center"/>
          </w:tcPr>
          <w:p w:rsidR="0087651F" w:rsidRPr="00E7622E" w:rsidRDefault="00C678E1">
            <w:pPr>
              <w:adjustRightInd w:val="0"/>
              <w:spacing w:line="240" w:lineRule="atLeast"/>
              <w:jc w:val="both"/>
              <w:rPr>
                <w:rFonts w:eastAsia="標楷體" w:hAnsi="標楷體"/>
                <w:sz w:val="32"/>
                <w:szCs w:val="32"/>
              </w:rPr>
            </w:pPr>
            <w:r>
              <w:rPr>
                <w:rFonts w:eastAsia="標楷體" w:hAnsi="標楷體"/>
                <w:sz w:val="32"/>
                <w:szCs w:val="32"/>
              </w:rPr>
              <w:t>61</w:t>
            </w:r>
            <w:r>
              <w:rPr>
                <w:rFonts w:eastAsia="標楷體" w:hAnsi="標楷體" w:hint="eastAsia"/>
                <w:sz w:val="32"/>
                <w:szCs w:val="32"/>
              </w:rPr>
              <w:t>,</w:t>
            </w:r>
            <w:r>
              <w:rPr>
                <w:rFonts w:eastAsia="標楷體" w:hAnsi="標楷體"/>
                <w:sz w:val="32"/>
                <w:szCs w:val="32"/>
              </w:rPr>
              <w:t>271</w:t>
            </w:r>
          </w:p>
        </w:tc>
      </w:tr>
      <w:tr w:rsidR="0087651F" w:rsidRPr="00E7622E">
        <w:trPr>
          <w:trHeight w:val="1084"/>
          <w:jc w:val="center"/>
        </w:trPr>
        <w:tc>
          <w:tcPr>
            <w:tcW w:w="2264" w:type="dxa"/>
            <w:tcBorders>
              <w:top w:val="single" w:sz="4" w:space="0" w:color="auto"/>
              <w:left w:val="single" w:sz="4" w:space="0" w:color="auto"/>
              <w:bottom w:val="single" w:sz="4" w:space="0" w:color="auto"/>
              <w:right w:val="single" w:sz="4" w:space="0" w:color="auto"/>
            </w:tcBorders>
            <w:vAlign w:val="center"/>
          </w:tcPr>
          <w:p w:rsidR="0087651F" w:rsidRPr="00E7622E" w:rsidRDefault="0087651F">
            <w:pPr>
              <w:adjustRightInd w:val="0"/>
              <w:spacing w:line="240" w:lineRule="atLeast"/>
              <w:jc w:val="distribute"/>
              <w:rPr>
                <w:rFonts w:eastAsia="標楷體"/>
                <w:sz w:val="32"/>
                <w:szCs w:val="32"/>
              </w:rPr>
            </w:pPr>
            <w:r w:rsidRPr="00E7622E">
              <w:rPr>
                <w:rFonts w:eastAsia="標楷體" w:hint="eastAsia"/>
                <w:sz w:val="32"/>
                <w:szCs w:val="32"/>
              </w:rPr>
              <w:t>計畫連絡人</w:t>
            </w:r>
          </w:p>
        </w:tc>
        <w:tc>
          <w:tcPr>
            <w:tcW w:w="7920" w:type="dxa"/>
            <w:gridSpan w:val="3"/>
            <w:tcBorders>
              <w:top w:val="single" w:sz="4" w:space="0" w:color="auto"/>
              <w:left w:val="single" w:sz="4" w:space="0" w:color="auto"/>
              <w:bottom w:val="single" w:sz="4" w:space="0" w:color="auto"/>
              <w:right w:val="single" w:sz="4" w:space="0" w:color="auto"/>
            </w:tcBorders>
            <w:vAlign w:val="center"/>
          </w:tcPr>
          <w:p w:rsidR="0087651F" w:rsidRPr="005414F4" w:rsidRDefault="001210C8">
            <w:pPr>
              <w:adjustRightInd w:val="0"/>
              <w:spacing w:line="240" w:lineRule="atLeast"/>
              <w:jc w:val="both"/>
              <w:rPr>
                <w:rFonts w:eastAsia="標楷體"/>
              </w:rPr>
            </w:pPr>
            <w:r w:rsidRPr="005414F4">
              <w:rPr>
                <w:rFonts w:eastAsia="標楷體" w:hint="eastAsia"/>
              </w:rPr>
              <w:t>姓名：翁育萍</w:t>
            </w:r>
            <w:r w:rsidRPr="005414F4">
              <w:rPr>
                <w:rFonts w:eastAsia="標楷體" w:hint="eastAsia"/>
              </w:rPr>
              <w:t xml:space="preserve">  </w:t>
            </w:r>
            <w:r w:rsidRPr="005414F4">
              <w:rPr>
                <w:rFonts w:eastAsia="標楷體" w:hint="eastAsia"/>
              </w:rPr>
              <w:t>電話：</w:t>
            </w:r>
            <w:r w:rsidRPr="005414F4">
              <w:rPr>
                <w:rFonts w:eastAsia="標楷體" w:hint="eastAsia"/>
              </w:rPr>
              <w:t>(</w:t>
            </w:r>
            <w:r w:rsidRPr="005414F4">
              <w:rPr>
                <w:rFonts w:eastAsia="標楷體" w:hint="eastAsia"/>
              </w:rPr>
              <w:t>公</w:t>
            </w:r>
            <w:r w:rsidRPr="005414F4">
              <w:rPr>
                <w:rFonts w:eastAsia="標楷體" w:hint="eastAsia"/>
              </w:rPr>
              <w:t>)06-2674567 ext333   (</w:t>
            </w:r>
            <w:r w:rsidRPr="005414F4">
              <w:rPr>
                <w:rFonts w:eastAsia="標楷體" w:hint="eastAsia"/>
              </w:rPr>
              <w:t>手機</w:t>
            </w:r>
            <w:r w:rsidRPr="005414F4">
              <w:rPr>
                <w:rFonts w:eastAsia="標楷體" w:hint="eastAsia"/>
              </w:rPr>
              <w:t>)  0988010368</w:t>
            </w:r>
          </w:p>
        </w:tc>
      </w:tr>
      <w:tr w:rsidR="0087651F" w:rsidRPr="00E7622E">
        <w:trPr>
          <w:trHeight w:val="1085"/>
          <w:jc w:val="center"/>
        </w:trPr>
        <w:tc>
          <w:tcPr>
            <w:tcW w:w="2264" w:type="dxa"/>
            <w:tcBorders>
              <w:top w:val="single" w:sz="4" w:space="0" w:color="auto"/>
              <w:left w:val="single" w:sz="4" w:space="0" w:color="auto"/>
              <w:bottom w:val="single" w:sz="4" w:space="0" w:color="auto"/>
              <w:right w:val="single" w:sz="4" w:space="0" w:color="auto"/>
            </w:tcBorders>
            <w:vAlign w:val="center"/>
          </w:tcPr>
          <w:p w:rsidR="0087651F" w:rsidRPr="00E7622E" w:rsidRDefault="0087651F">
            <w:pPr>
              <w:adjustRightInd w:val="0"/>
              <w:spacing w:line="240" w:lineRule="atLeast"/>
              <w:jc w:val="distribute"/>
              <w:rPr>
                <w:rFonts w:eastAsia="標楷體"/>
                <w:sz w:val="32"/>
                <w:szCs w:val="32"/>
              </w:rPr>
            </w:pPr>
            <w:r w:rsidRPr="00E7622E">
              <w:rPr>
                <w:rFonts w:eastAsia="標楷體" w:hint="eastAsia"/>
                <w:sz w:val="32"/>
                <w:szCs w:val="32"/>
              </w:rPr>
              <w:t>通訊地址</w:t>
            </w:r>
          </w:p>
        </w:tc>
        <w:tc>
          <w:tcPr>
            <w:tcW w:w="7920" w:type="dxa"/>
            <w:gridSpan w:val="3"/>
            <w:tcBorders>
              <w:top w:val="single" w:sz="4" w:space="0" w:color="auto"/>
              <w:left w:val="single" w:sz="4" w:space="0" w:color="auto"/>
              <w:bottom w:val="single" w:sz="4" w:space="0" w:color="auto"/>
              <w:right w:val="single" w:sz="4" w:space="0" w:color="auto"/>
            </w:tcBorders>
            <w:vAlign w:val="center"/>
          </w:tcPr>
          <w:p w:rsidR="0087651F" w:rsidRPr="00E7622E" w:rsidRDefault="001210C8">
            <w:pPr>
              <w:adjustRightInd w:val="0"/>
              <w:spacing w:line="240" w:lineRule="atLeast"/>
              <w:jc w:val="both"/>
              <w:rPr>
                <w:rFonts w:eastAsia="標楷體"/>
                <w:sz w:val="20"/>
                <w:szCs w:val="20"/>
              </w:rPr>
            </w:pPr>
            <w:r w:rsidRPr="00254CDA">
              <w:rPr>
                <w:rFonts w:eastAsia="標楷體" w:hint="eastAsia"/>
                <w:sz w:val="32"/>
                <w:szCs w:val="32"/>
              </w:rPr>
              <w:t>台南市仁德區文華</w:t>
            </w:r>
            <w:proofErr w:type="gramStart"/>
            <w:r w:rsidRPr="00254CDA">
              <w:rPr>
                <w:rFonts w:eastAsia="標楷體" w:hint="eastAsia"/>
                <w:sz w:val="32"/>
                <w:szCs w:val="32"/>
              </w:rPr>
              <w:t>ㄧ</w:t>
            </w:r>
            <w:proofErr w:type="gramEnd"/>
            <w:r w:rsidRPr="00254CDA">
              <w:rPr>
                <w:rFonts w:eastAsia="標楷體" w:hint="eastAsia"/>
                <w:sz w:val="32"/>
                <w:szCs w:val="32"/>
              </w:rPr>
              <w:t>街</w:t>
            </w:r>
            <w:r w:rsidRPr="00254CDA">
              <w:rPr>
                <w:rFonts w:eastAsia="標楷體" w:hint="eastAsia"/>
                <w:sz w:val="32"/>
                <w:szCs w:val="32"/>
              </w:rPr>
              <w:t>89</w:t>
            </w:r>
            <w:r w:rsidRPr="00254CDA">
              <w:rPr>
                <w:rFonts w:eastAsia="標楷體" w:hint="eastAsia"/>
                <w:sz w:val="32"/>
                <w:szCs w:val="32"/>
              </w:rPr>
              <w:t>號</w:t>
            </w:r>
          </w:p>
        </w:tc>
      </w:tr>
      <w:tr w:rsidR="001210C8" w:rsidRPr="00E7622E">
        <w:trPr>
          <w:trHeight w:val="1085"/>
          <w:jc w:val="center"/>
        </w:trPr>
        <w:tc>
          <w:tcPr>
            <w:tcW w:w="2264" w:type="dxa"/>
            <w:tcBorders>
              <w:top w:val="single" w:sz="4" w:space="0" w:color="auto"/>
              <w:left w:val="single" w:sz="4" w:space="0" w:color="auto"/>
              <w:bottom w:val="single" w:sz="4" w:space="0" w:color="auto"/>
              <w:right w:val="single" w:sz="4" w:space="0" w:color="auto"/>
            </w:tcBorders>
            <w:vAlign w:val="center"/>
          </w:tcPr>
          <w:p w:rsidR="001210C8" w:rsidRPr="00E7622E" w:rsidRDefault="001210C8" w:rsidP="001210C8">
            <w:pPr>
              <w:adjustRightInd w:val="0"/>
              <w:spacing w:line="240" w:lineRule="atLeast"/>
              <w:jc w:val="distribute"/>
              <w:rPr>
                <w:rFonts w:eastAsia="標楷體"/>
                <w:sz w:val="32"/>
                <w:szCs w:val="32"/>
              </w:rPr>
            </w:pPr>
            <w:r w:rsidRPr="00E7622E">
              <w:rPr>
                <w:rFonts w:eastAsia="標楷體" w:hint="eastAsia"/>
                <w:sz w:val="32"/>
                <w:szCs w:val="32"/>
              </w:rPr>
              <w:t>傳真號碼</w:t>
            </w:r>
          </w:p>
        </w:tc>
        <w:tc>
          <w:tcPr>
            <w:tcW w:w="2377" w:type="dxa"/>
            <w:tcBorders>
              <w:top w:val="single" w:sz="4" w:space="0" w:color="auto"/>
              <w:left w:val="single" w:sz="4" w:space="0" w:color="auto"/>
              <w:bottom w:val="single" w:sz="4" w:space="0" w:color="auto"/>
              <w:right w:val="single" w:sz="4" w:space="0" w:color="auto"/>
            </w:tcBorders>
            <w:vAlign w:val="center"/>
          </w:tcPr>
          <w:p w:rsidR="001210C8" w:rsidRPr="00254CDA" w:rsidRDefault="001210C8" w:rsidP="001210C8">
            <w:pPr>
              <w:pStyle w:val="a3"/>
              <w:spacing w:line="240" w:lineRule="atLeast"/>
              <w:jc w:val="both"/>
              <w:rPr>
                <w:rFonts w:eastAsia="標楷體"/>
                <w:sz w:val="32"/>
                <w:szCs w:val="32"/>
              </w:rPr>
            </w:pPr>
            <w:r w:rsidRPr="00254CDA">
              <w:rPr>
                <w:rFonts w:eastAsia="標楷體" w:hint="eastAsia"/>
                <w:sz w:val="32"/>
                <w:szCs w:val="32"/>
              </w:rPr>
              <w:t>06-3369552</w:t>
            </w:r>
          </w:p>
        </w:tc>
        <w:tc>
          <w:tcPr>
            <w:tcW w:w="2826" w:type="dxa"/>
            <w:tcBorders>
              <w:top w:val="single" w:sz="4" w:space="0" w:color="auto"/>
              <w:left w:val="single" w:sz="4" w:space="0" w:color="auto"/>
              <w:bottom w:val="single" w:sz="4" w:space="0" w:color="auto"/>
              <w:right w:val="single" w:sz="4" w:space="0" w:color="auto"/>
            </w:tcBorders>
            <w:vAlign w:val="center"/>
          </w:tcPr>
          <w:p w:rsidR="001210C8" w:rsidRPr="00254CDA" w:rsidRDefault="001210C8" w:rsidP="001210C8">
            <w:pPr>
              <w:spacing w:line="240" w:lineRule="atLeast"/>
              <w:jc w:val="center"/>
              <w:rPr>
                <w:sz w:val="32"/>
                <w:szCs w:val="32"/>
              </w:rPr>
            </w:pPr>
            <w:r w:rsidRPr="00254CDA">
              <w:rPr>
                <w:rFonts w:eastAsia="標楷體"/>
                <w:sz w:val="32"/>
                <w:szCs w:val="32"/>
              </w:rPr>
              <w:t>E-MAIL</w:t>
            </w:r>
          </w:p>
        </w:tc>
        <w:tc>
          <w:tcPr>
            <w:tcW w:w="2717" w:type="dxa"/>
            <w:tcBorders>
              <w:top w:val="single" w:sz="4" w:space="0" w:color="auto"/>
              <w:left w:val="single" w:sz="4" w:space="0" w:color="auto"/>
              <w:bottom w:val="single" w:sz="4" w:space="0" w:color="auto"/>
              <w:right w:val="single" w:sz="4" w:space="0" w:color="auto"/>
            </w:tcBorders>
            <w:vAlign w:val="center"/>
          </w:tcPr>
          <w:p w:rsidR="001210C8" w:rsidRPr="001210C8" w:rsidRDefault="001210C8" w:rsidP="001210C8">
            <w:pPr>
              <w:spacing w:line="240" w:lineRule="atLeast"/>
              <w:jc w:val="both"/>
              <w:rPr>
                <w:rFonts w:eastAsia="標楷體"/>
              </w:rPr>
            </w:pPr>
            <w:r w:rsidRPr="001210C8">
              <w:rPr>
                <w:rFonts w:eastAsia="標楷體" w:hint="eastAsia"/>
              </w:rPr>
              <w:t>mbweng@gmail.com</w:t>
            </w:r>
          </w:p>
        </w:tc>
      </w:tr>
    </w:tbl>
    <w:p w:rsidR="0087651F" w:rsidRPr="00E7622E" w:rsidRDefault="0087651F">
      <w:pPr>
        <w:adjustRightInd w:val="0"/>
        <w:spacing w:line="400" w:lineRule="exact"/>
        <w:ind w:leftChars="-75" w:left="-178" w:rightChars="-67" w:right="-161" w:hanging="2"/>
        <w:jc w:val="both"/>
        <w:rPr>
          <w:rFonts w:eastAsia="標楷體"/>
          <w:sz w:val="20"/>
          <w:szCs w:val="20"/>
        </w:rPr>
      </w:pPr>
    </w:p>
    <w:p w:rsidR="0087651F" w:rsidRPr="00E7622E" w:rsidRDefault="0087651F">
      <w:pPr>
        <w:spacing w:line="320" w:lineRule="exact"/>
        <w:ind w:leftChars="-75" w:left="-178" w:rightChars="-67" w:right="-161" w:hanging="2"/>
        <w:rPr>
          <w:rFonts w:ascii="標楷體" w:eastAsia="標楷體"/>
          <w:sz w:val="32"/>
          <w:szCs w:val="32"/>
        </w:rPr>
      </w:pPr>
    </w:p>
    <w:p w:rsidR="0087651F" w:rsidRPr="00E7622E" w:rsidRDefault="0087651F">
      <w:pPr>
        <w:spacing w:line="320" w:lineRule="exact"/>
        <w:ind w:leftChars="-75" w:left="-178" w:rightChars="-67" w:right="-161" w:hanging="2"/>
        <w:rPr>
          <w:rFonts w:ascii="標楷體" w:eastAsia="標楷體"/>
          <w:sz w:val="32"/>
          <w:szCs w:val="32"/>
          <w:u w:val="single"/>
        </w:rPr>
      </w:pPr>
      <w:r w:rsidRPr="00E7622E">
        <w:rPr>
          <w:rFonts w:ascii="標楷體" w:eastAsia="標楷體" w:hint="eastAsia"/>
          <w:sz w:val="32"/>
          <w:szCs w:val="32"/>
        </w:rPr>
        <w:t>申請機構首長簽章：</w:t>
      </w:r>
      <w:r w:rsidRPr="00E7622E">
        <w:rPr>
          <w:rFonts w:ascii="標楷體" w:eastAsia="標楷體"/>
          <w:sz w:val="32"/>
          <w:szCs w:val="32"/>
          <w:u w:val="single"/>
        </w:rPr>
        <w:t xml:space="preserve">   </w:t>
      </w:r>
      <w:r w:rsidRPr="00E7622E">
        <w:rPr>
          <w:rFonts w:ascii="標楷體" w:eastAsia="標楷體" w:hint="eastAsia"/>
          <w:sz w:val="32"/>
          <w:szCs w:val="32"/>
          <w:u w:val="single"/>
        </w:rPr>
        <w:t xml:space="preserve">              </w:t>
      </w:r>
      <w:r w:rsidRPr="00E7622E">
        <w:rPr>
          <w:rFonts w:ascii="標楷體" w:eastAsia="標楷體" w:hint="eastAsia"/>
          <w:sz w:val="32"/>
          <w:szCs w:val="32"/>
        </w:rPr>
        <w:t>日期：</w:t>
      </w:r>
      <w:r w:rsidRPr="00E7622E">
        <w:rPr>
          <w:rFonts w:ascii="標楷體" w:eastAsia="標楷體"/>
          <w:sz w:val="32"/>
          <w:szCs w:val="32"/>
          <w:u w:val="single"/>
        </w:rPr>
        <w:t xml:space="preserve"> </w:t>
      </w:r>
      <w:r w:rsidRPr="00073847">
        <w:rPr>
          <w:rFonts w:eastAsia="標楷體"/>
          <w:sz w:val="32"/>
          <w:szCs w:val="32"/>
          <w:u w:val="single"/>
        </w:rPr>
        <w:t xml:space="preserve"> </w:t>
      </w:r>
      <w:r w:rsidR="00073847" w:rsidRPr="00073847">
        <w:rPr>
          <w:rFonts w:eastAsia="標楷體"/>
          <w:sz w:val="32"/>
          <w:szCs w:val="32"/>
          <w:u w:val="single"/>
        </w:rPr>
        <w:t>11</w:t>
      </w:r>
      <w:r w:rsidR="005414F4">
        <w:rPr>
          <w:rFonts w:eastAsia="標楷體"/>
          <w:sz w:val="32"/>
          <w:szCs w:val="32"/>
          <w:u w:val="single"/>
        </w:rPr>
        <w:t>4</w:t>
      </w:r>
      <w:r w:rsidR="00073847" w:rsidRPr="00073847">
        <w:rPr>
          <w:rFonts w:eastAsia="標楷體"/>
          <w:sz w:val="32"/>
          <w:szCs w:val="32"/>
          <w:u w:val="single"/>
        </w:rPr>
        <w:t>、</w:t>
      </w:r>
      <w:r w:rsidR="00073847" w:rsidRPr="00073847">
        <w:rPr>
          <w:rFonts w:eastAsia="標楷體"/>
          <w:sz w:val="32"/>
          <w:szCs w:val="32"/>
          <w:u w:val="single"/>
        </w:rPr>
        <w:t>5</w:t>
      </w:r>
      <w:r w:rsidR="00073847" w:rsidRPr="00073847">
        <w:rPr>
          <w:rFonts w:eastAsia="標楷體"/>
          <w:sz w:val="32"/>
          <w:szCs w:val="32"/>
          <w:u w:val="single"/>
        </w:rPr>
        <w:t>、</w:t>
      </w:r>
      <w:r w:rsidR="00073847" w:rsidRPr="00073847">
        <w:rPr>
          <w:rFonts w:eastAsia="標楷體"/>
          <w:sz w:val="32"/>
          <w:szCs w:val="32"/>
          <w:u w:val="single"/>
        </w:rPr>
        <w:t>1</w:t>
      </w:r>
      <w:r w:rsidR="0079267E">
        <w:rPr>
          <w:rFonts w:eastAsia="標楷體" w:hint="eastAsia"/>
          <w:sz w:val="32"/>
          <w:szCs w:val="32"/>
          <w:u w:val="single"/>
        </w:rPr>
        <w:t>0</w:t>
      </w:r>
      <w:r w:rsidRPr="00073847">
        <w:rPr>
          <w:rFonts w:eastAsia="標楷體"/>
          <w:sz w:val="32"/>
          <w:szCs w:val="32"/>
          <w:u w:val="single"/>
        </w:rPr>
        <w:t xml:space="preserve"> </w:t>
      </w:r>
      <w:r w:rsidRPr="00E7622E">
        <w:rPr>
          <w:rFonts w:ascii="標楷體" w:eastAsia="標楷體"/>
          <w:sz w:val="32"/>
          <w:szCs w:val="32"/>
          <w:u w:val="single"/>
        </w:rPr>
        <w:t xml:space="preserve">    </w:t>
      </w:r>
    </w:p>
    <w:p w:rsidR="0087651F" w:rsidRPr="00E7622E" w:rsidRDefault="0087651F">
      <w:pPr>
        <w:spacing w:line="320" w:lineRule="exact"/>
        <w:ind w:leftChars="-75" w:left="-178" w:rightChars="-67" w:right="-161" w:hanging="2"/>
        <w:rPr>
          <w:rFonts w:ascii="標楷體" w:eastAsia="標楷體"/>
          <w:sz w:val="20"/>
          <w:u w:val="single"/>
        </w:rPr>
      </w:pPr>
    </w:p>
    <w:p w:rsidR="0087651F" w:rsidRDefault="0087651F">
      <w:pPr>
        <w:spacing w:line="300" w:lineRule="exact"/>
        <w:ind w:leftChars="-75" w:left="-178" w:rightChars="-67" w:right="-161" w:hanging="2"/>
        <w:rPr>
          <w:rFonts w:eastAsia="標楷體"/>
          <w:b/>
          <w:bCs/>
          <w:sz w:val="28"/>
        </w:rPr>
      </w:pPr>
    </w:p>
    <w:p w:rsidR="0087651F" w:rsidRPr="005414F4" w:rsidRDefault="0087651F">
      <w:pPr>
        <w:spacing w:afterLines="50" w:after="120" w:line="400" w:lineRule="exact"/>
        <w:ind w:left="647" w:rightChars="-67" w:right="-161" w:hangingChars="170" w:hanging="647"/>
        <w:rPr>
          <w:rFonts w:ascii="標楷體" w:eastAsia="標楷體"/>
          <w:b/>
          <w:spacing w:val="30"/>
          <w:sz w:val="32"/>
        </w:rPr>
      </w:pPr>
    </w:p>
    <w:p w:rsidR="0087651F" w:rsidRDefault="0087651F">
      <w:pPr>
        <w:spacing w:afterLines="50" w:after="120" w:line="400" w:lineRule="exact"/>
        <w:ind w:left="647" w:rightChars="-67" w:right="-161" w:hangingChars="170" w:hanging="647"/>
        <w:rPr>
          <w:rFonts w:ascii="標楷體" w:eastAsia="標楷體"/>
          <w:b/>
          <w:spacing w:val="30"/>
          <w:sz w:val="32"/>
        </w:rPr>
      </w:pPr>
    </w:p>
    <w:p w:rsidR="0087651F" w:rsidRDefault="0087651F" w:rsidP="007A7C93">
      <w:pPr>
        <w:spacing w:afterLines="50" w:after="120" w:line="400" w:lineRule="exact"/>
        <w:ind w:left="647" w:rightChars="-67" w:right="-161" w:hangingChars="170" w:hanging="647"/>
        <w:rPr>
          <w:rFonts w:ascii="標楷體" w:eastAsia="標楷體"/>
          <w:b/>
          <w:spacing w:val="30"/>
          <w:sz w:val="32"/>
        </w:rPr>
      </w:pPr>
    </w:p>
    <w:p w:rsidR="0087651F" w:rsidRDefault="0087651F">
      <w:pPr>
        <w:spacing w:afterLines="50" w:after="120" w:line="400" w:lineRule="exact"/>
        <w:ind w:left="647" w:rightChars="-67" w:right="-161" w:hangingChars="170" w:hanging="647"/>
        <w:rPr>
          <w:rFonts w:ascii="標楷體" w:eastAsia="標楷體"/>
          <w:b/>
          <w:spacing w:val="30"/>
          <w:sz w:val="32"/>
        </w:rPr>
        <w:sectPr w:rsidR="0087651F">
          <w:footerReference w:type="default" r:id="rId7"/>
          <w:pgSz w:w="11906" w:h="16838"/>
          <w:pgMar w:top="1134" w:right="1134" w:bottom="1134" w:left="1134" w:header="851" w:footer="992" w:gutter="0"/>
          <w:cols w:space="425"/>
          <w:docGrid w:linePitch="360"/>
        </w:sectPr>
      </w:pPr>
    </w:p>
    <w:p w:rsidR="0087651F" w:rsidRPr="001E47E3" w:rsidRDefault="0087651F">
      <w:pPr>
        <w:spacing w:afterLines="50" w:after="120" w:line="400" w:lineRule="exact"/>
        <w:ind w:left="545" w:rightChars="-67" w:right="-161" w:hangingChars="170" w:hanging="545"/>
        <w:rPr>
          <w:rFonts w:eastAsia="標楷體"/>
          <w:b/>
          <w:sz w:val="32"/>
          <w:szCs w:val="32"/>
        </w:rPr>
      </w:pPr>
      <w:r w:rsidRPr="001E47E3">
        <w:rPr>
          <w:rFonts w:eastAsia="標楷體"/>
          <w:b/>
          <w:color w:val="000000"/>
          <w:sz w:val="32"/>
          <w:szCs w:val="32"/>
        </w:rPr>
        <w:lastRenderedPageBreak/>
        <w:t>二、計畫內容</w:t>
      </w:r>
      <w:r w:rsidRPr="001E47E3">
        <w:rPr>
          <w:rFonts w:eastAsia="標楷體"/>
          <w:b/>
          <w:color w:val="000000"/>
          <w:szCs w:val="26"/>
        </w:rPr>
        <w:t>（</w:t>
      </w:r>
      <w:r w:rsidRPr="001E47E3">
        <w:rPr>
          <w:rFonts w:eastAsia="標楷體"/>
          <w:b/>
          <w:szCs w:val="26"/>
        </w:rPr>
        <w:t>請就下列各點分項敘明，</w:t>
      </w:r>
      <w:r w:rsidRPr="001E47E3">
        <w:rPr>
          <w:rFonts w:eastAsia="標楷體" w:hAnsi="標楷體"/>
          <w:b/>
          <w:kern w:val="0"/>
          <w:szCs w:val="26"/>
        </w:rPr>
        <w:t>標楷體</w:t>
      </w:r>
      <w:r w:rsidRPr="001E47E3">
        <w:rPr>
          <w:rFonts w:eastAsia="標楷體"/>
          <w:b/>
          <w:kern w:val="0"/>
          <w:szCs w:val="26"/>
        </w:rPr>
        <w:t>12</w:t>
      </w:r>
      <w:r w:rsidRPr="001E47E3">
        <w:rPr>
          <w:rFonts w:eastAsia="標楷體" w:hAnsi="標楷體"/>
          <w:b/>
          <w:kern w:val="0"/>
          <w:szCs w:val="26"/>
        </w:rPr>
        <w:t>號字，固定行高</w:t>
      </w:r>
      <w:r w:rsidRPr="001E47E3">
        <w:rPr>
          <w:rFonts w:eastAsia="標楷體"/>
          <w:b/>
          <w:kern w:val="0"/>
          <w:szCs w:val="26"/>
        </w:rPr>
        <w:t>18</w:t>
      </w:r>
      <w:r w:rsidRPr="001E47E3">
        <w:rPr>
          <w:rFonts w:eastAsia="標楷體" w:hAnsi="標楷體"/>
          <w:b/>
          <w:kern w:val="0"/>
          <w:szCs w:val="26"/>
        </w:rPr>
        <w:t>點</w:t>
      </w:r>
      <w:r w:rsidR="005E1781" w:rsidRPr="001E47E3">
        <w:rPr>
          <w:rFonts w:eastAsia="標楷體"/>
          <w:b/>
          <w:bCs/>
          <w:szCs w:val="26"/>
        </w:rPr>
        <w:t>，如有其他補充資料，請</w:t>
      </w:r>
      <w:r w:rsidR="00F93E62" w:rsidRPr="002D5DC2">
        <w:rPr>
          <w:rFonts w:eastAsia="標楷體" w:hint="eastAsia"/>
          <w:b/>
          <w:bCs/>
          <w:szCs w:val="26"/>
        </w:rPr>
        <w:t>以</w:t>
      </w:r>
      <w:r w:rsidR="005E1781" w:rsidRPr="002D5DC2">
        <w:rPr>
          <w:rFonts w:eastAsia="標楷體"/>
          <w:b/>
          <w:bCs/>
          <w:szCs w:val="26"/>
        </w:rPr>
        <w:t>附件</w:t>
      </w:r>
      <w:proofErr w:type="gramStart"/>
      <w:r w:rsidR="005E1781" w:rsidRPr="001E47E3">
        <w:rPr>
          <w:rFonts w:eastAsia="標楷體"/>
          <w:b/>
          <w:bCs/>
          <w:szCs w:val="26"/>
        </w:rPr>
        <w:t>併</w:t>
      </w:r>
      <w:proofErr w:type="gramEnd"/>
      <w:r w:rsidR="005E1781" w:rsidRPr="001E47E3">
        <w:rPr>
          <w:rFonts w:eastAsia="標楷體"/>
          <w:b/>
          <w:bCs/>
          <w:szCs w:val="26"/>
        </w:rPr>
        <w:t>送</w:t>
      </w:r>
      <w:r w:rsidRPr="001E47E3">
        <w:rPr>
          <w:rFonts w:eastAsia="標楷體"/>
          <w:b/>
          <w:szCs w:val="26"/>
        </w:rPr>
        <w:t>）</w:t>
      </w:r>
      <w:r w:rsidRPr="001E47E3">
        <w:rPr>
          <w:rFonts w:eastAsia="標楷體"/>
          <w:b/>
          <w:sz w:val="32"/>
          <w:szCs w:val="32"/>
        </w:rPr>
        <w:t>：</w:t>
      </w:r>
      <w:r w:rsidRPr="001E47E3">
        <w:rPr>
          <w:rFonts w:eastAsia="標楷體"/>
          <w:b/>
          <w:sz w:val="32"/>
          <w:szCs w:val="32"/>
        </w:rPr>
        <w:t xml:space="preserve"> </w:t>
      </w:r>
    </w:p>
    <w:p w:rsidR="00CC3EFA" w:rsidRDefault="00F02337" w:rsidP="00CC3EFA">
      <w:pPr>
        <w:numPr>
          <w:ilvl w:val="5"/>
          <w:numId w:val="7"/>
        </w:numPr>
        <w:spacing w:line="360" w:lineRule="exact"/>
        <w:jc w:val="both"/>
        <w:rPr>
          <w:rFonts w:eastAsia="標楷體"/>
          <w:szCs w:val="28"/>
        </w:rPr>
      </w:pPr>
      <w:r w:rsidRPr="00F02337">
        <w:rPr>
          <w:rFonts w:eastAsia="標楷體" w:hint="eastAsia"/>
          <w:szCs w:val="28"/>
        </w:rPr>
        <w:t>機構內部辦理研究獎勵之目標、執行方式及內容。</w:t>
      </w:r>
    </w:p>
    <w:p w:rsidR="00A664F7" w:rsidRPr="00A664F7" w:rsidRDefault="00A664F7" w:rsidP="00A664F7">
      <w:pPr>
        <w:suppressAutoHyphens/>
        <w:autoSpaceDN w:val="0"/>
        <w:spacing w:line="360" w:lineRule="exact"/>
        <w:ind w:left="709"/>
        <w:jc w:val="both"/>
        <w:textAlignment w:val="baseline"/>
        <w:rPr>
          <w:rFonts w:eastAsia="標楷體"/>
          <w:b/>
          <w:kern w:val="3"/>
          <w:szCs w:val="28"/>
          <w:u w:val="single"/>
        </w:rPr>
      </w:pPr>
      <w:r w:rsidRPr="00A664F7">
        <w:rPr>
          <w:rFonts w:eastAsia="標楷體"/>
          <w:b/>
          <w:kern w:val="3"/>
          <w:szCs w:val="28"/>
          <w:u w:val="single"/>
        </w:rPr>
        <w:t>1.</w:t>
      </w:r>
      <w:r w:rsidRPr="00A664F7">
        <w:rPr>
          <w:rFonts w:eastAsia="標楷體"/>
          <w:b/>
          <w:kern w:val="3"/>
          <w:szCs w:val="28"/>
          <w:u w:val="single"/>
        </w:rPr>
        <w:tab/>
      </w:r>
      <w:r w:rsidRPr="00A664F7">
        <w:rPr>
          <w:rFonts w:eastAsia="標楷體"/>
          <w:b/>
          <w:kern w:val="3"/>
          <w:szCs w:val="28"/>
          <w:u w:val="single"/>
        </w:rPr>
        <w:t>研究獎勵目標</w:t>
      </w:r>
    </w:p>
    <w:p w:rsidR="00A664F7" w:rsidRPr="00A664F7" w:rsidRDefault="00A664F7" w:rsidP="00A664F7">
      <w:pPr>
        <w:suppressAutoHyphens/>
        <w:autoSpaceDN w:val="0"/>
        <w:spacing w:line="360" w:lineRule="exact"/>
        <w:ind w:left="709" w:firstLineChars="242" w:firstLine="581"/>
        <w:jc w:val="both"/>
        <w:textAlignment w:val="baseline"/>
        <w:rPr>
          <w:rFonts w:eastAsia="標楷體"/>
          <w:kern w:val="3"/>
        </w:rPr>
      </w:pPr>
      <w:r w:rsidRPr="00A664F7">
        <w:rPr>
          <w:rFonts w:eastAsia="標楷體"/>
          <w:kern w:val="3"/>
        </w:rPr>
        <w:t>為獎勵研究及產學績效卓越之教師、延攬及留住特殊優秀人才，提高本校學術研究競爭力。</w:t>
      </w:r>
    </w:p>
    <w:p w:rsidR="00A664F7" w:rsidRPr="00A664F7" w:rsidRDefault="00A664F7" w:rsidP="00A664F7">
      <w:pPr>
        <w:suppressAutoHyphens/>
        <w:autoSpaceDN w:val="0"/>
        <w:spacing w:line="360" w:lineRule="exact"/>
        <w:ind w:left="709"/>
        <w:jc w:val="both"/>
        <w:textAlignment w:val="baseline"/>
        <w:rPr>
          <w:rFonts w:eastAsia="標楷體"/>
          <w:b/>
          <w:kern w:val="3"/>
          <w:szCs w:val="28"/>
          <w:u w:val="single"/>
        </w:rPr>
      </w:pPr>
      <w:r w:rsidRPr="00A664F7">
        <w:rPr>
          <w:rFonts w:eastAsia="標楷體"/>
          <w:b/>
          <w:kern w:val="3"/>
          <w:szCs w:val="28"/>
          <w:u w:val="single"/>
        </w:rPr>
        <w:t>2.</w:t>
      </w:r>
      <w:r w:rsidRPr="00A664F7">
        <w:rPr>
          <w:rFonts w:eastAsia="標楷體"/>
          <w:kern w:val="3"/>
          <w:szCs w:val="28"/>
          <w:u w:val="single"/>
          <w:lang w:eastAsia="zh-HK"/>
        </w:rPr>
        <w:t xml:space="preserve"> </w:t>
      </w:r>
      <w:r w:rsidRPr="00A664F7">
        <w:rPr>
          <w:rFonts w:eastAsia="標楷體"/>
          <w:b/>
          <w:kern w:val="3"/>
          <w:szCs w:val="28"/>
          <w:u w:val="single"/>
        </w:rPr>
        <w:t>研究執行方式及內容</w:t>
      </w:r>
    </w:p>
    <w:p w:rsidR="00A664F7" w:rsidRPr="00A664F7" w:rsidRDefault="00A664F7" w:rsidP="00A664F7">
      <w:pPr>
        <w:numPr>
          <w:ilvl w:val="7"/>
          <w:numId w:val="13"/>
        </w:numPr>
        <w:suppressAutoHyphens/>
        <w:autoSpaceDN w:val="0"/>
        <w:spacing w:line="360" w:lineRule="exact"/>
        <w:ind w:left="1418" w:hanging="425"/>
        <w:jc w:val="both"/>
        <w:textAlignment w:val="baseline"/>
        <w:rPr>
          <w:kern w:val="3"/>
        </w:rPr>
      </w:pPr>
      <w:r w:rsidRPr="00A664F7">
        <w:rPr>
          <w:rFonts w:eastAsia="標楷體"/>
          <w:kern w:val="3"/>
          <w:szCs w:val="28"/>
          <w:lang w:eastAsia="zh-HK"/>
        </w:rPr>
        <w:t>績效評核原則</w:t>
      </w:r>
      <w:r w:rsidRPr="00A664F7">
        <w:rPr>
          <w:rFonts w:eastAsia="標楷體"/>
          <w:color w:val="767171"/>
          <w:kern w:val="3"/>
          <w:szCs w:val="28"/>
          <w:lang w:eastAsia="zh-HK"/>
        </w:rPr>
        <w:t>（應依各專業領域訂定研究績效評估標準與領域分配原則）</w:t>
      </w:r>
    </w:p>
    <w:p w:rsidR="00A664F7" w:rsidRPr="00A664F7" w:rsidRDefault="00A664F7" w:rsidP="00A664F7">
      <w:pPr>
        <w:suppressAutoHyphens/>
        <w:autoSpaceDN w:val="0"/>
        <w:spacing w:line="360" w:lineRule="exact"/>
        <w:ind w:left="709" w:firstLineChars="242" w:firstLine="581"/>
        <w:jc w:val="both"/>
        <w:textAlignment w:val="baseline"/>
        <w:rPr>
          <w:rFonts w:eastAsia="標楷體"/>
          <w:kern w:val="3"/>
        </w:rPr>
      </w:pPr>
      <w:r w:rsidRPr="00A664F7">
        <w:rPr>
          <w:rFonts w:eastAsia="標楷體"/>
          <w:kern w:val="3"/>
        </w:rPr>
        <w:t>獎勵人才類別核給比例，依本校</w:t>
      </w:r>
      <w:r w:rsidR="00DD31F5">
        <w:rPr>
          <w:rFonts w:eastAsia="標楷體"/>
          <w:kern w:val="3"/>
        </w:rPr>
        <w:t>國科會</w:t>
      </w:r>
      <w:r w:rsidRPr="00A664F7">
        <w:rPr>
          <w:rFonts w:eastAsia="標楷體"/>
          <w:kern w:val="3"/>
        </w:rPr>
        <w:t>計畫核定補助各學門比例金額訂定，分人文</w:t>
      </w:r>
      <w:r w:rsidRPr="00A664F7">
        <w:rPr>
          <w:rFonts w:eastAsia="標楷體"/>
          <w:kern w:val="3"/>
        </w:rPr>
        <w:t>(</w:t>
      </w:r>
      <w:r w:rsidRPr="00A664F7">
        <w:rPr>
          <w:rFonts w:eastAsia="標楷體"/>
          <w:kern w:val="3"/>
        </w:rPr>
        <w:t>人文司</w:t>
      </w:r>
      <w:r w:rsidRPr="00A664F7">
        <w:rPr>
          <w:rFonts w:eastAsia="標楷體"/>
          <w:kern w:val="3"/>
        </w:rPr>
        <w:t>)</w:t>
      </w:r>
      <w:r w:rsidRPr="00A664F7">
        <w:rPr>
          <w:rFonts w:eastAsia="標楷體"/>
          <w:kern w:val="3"/>
        </w:rPr>
        <w:t>及科學</w:t>
      </w:r>
      <w:r w:rsidRPr="00A664F7">
        <w:rPr>
          <w:rFonts w:eastAsia="標楷體"/>
          <w:kern w:val="3"/>
        </w:rPr>
        <w:t>(</w:t>
      </w:r>
      <w:r w:rsidRPr="00A664F7">
        <w:rPr>
          <w:rFonts w:eastAsia="標楷體"/>
          <w:kern w:val="3"/>
        </w:rPr>
        <w:t>自然司、工程司、</w:t>
      </w:r>
      <w:proofErr w:type="gramStart"/>
      <w:r w:rsidRPr="00A664F7">
        <w:rPr>
          <w:rFonts w:eastAsia="標楷體"/>
          <w:kern w:val="3"/>
        </w:rPr>
        <w:t>生科司</w:t>
      </w:r>
      <w:proofErr w:type="gramEnd"/>
      <w:r w:rsidRPr="00A664F7">
        <w:rPr>
          <w:rFonts w:eastAsia="標楷體"/>
          <w:kern w:val="3"/>
        </w:rPr>
        <w:t>、科</w:t>
      </w:r>
      <w:proofErr w:type="gramStart"/>
      <w:r w:rsidRPr="00A664F7">
        <w:rPr>
          <w:rFonts w:eastAsia="標楷體"/>
          <w:kern w:val="3"/>
        </w:rPr>
        <w:t>教國合</w:t>
      </w:r>
      <w:proofErr w:type="gramEnd"/>
      <w:r w:rsidRPr="00A664F7">
        <w:rPr>
          <w:rFonts w:eastAsia="標楷體"/>
          <w:kern w:val="3"/>
        </w:rPr>
        <w:t>司</w:t>
      </w:r>
      <w:r w:rsidRPr="00A664F7">
        <w:rPr>
          <w:rFonts w:eastAsia="標楷體"/>
          <w:kern w:val="3"/>
        </w:rPr>
        <w:t>)</w:t>
      </w:r>
      <w:r w:rsidRPr="00A664F7">
        <w:rPr>
          <w:rFonts w:eastAsia="標楷體"/>
          <w:kern w:val="3"/>
        </w:rPr>
        <w:t>領域，經研發委員會決議得酌予調整比例。</w:t>
      </w:r>
    </w:p>
    <w:p w:rsidR="00A664F7" w:rsidRPr="00A664F7" w:rsidRDefault="00A664F7" w:rsidP="00A664F7">
      <w:pPr>
        <w:numPr>
          <w:ilvl w:val="7"/>
          <w:numId w:val="13"/>
        </w:numPr>
        <w:suppressAutoHyphens/>
        <w:autoSpaceDN w:val="0"/>
        <w:spacing w:line="360" w:lineRule="exact"/>
        <w:ind w:left="1418" w:hanging="425"/>
        <w:jc w:val="both"/>
        <w:textAlignment w:val="baseline"/>
        <w:rPr>
          <w:kern w:val="3"/>
        </w:rPr>
      </w:pPr>
      <w:r w:rsidRPr="00A664F7">
        <w:rPr>
          <w:rFonts w:eastAsia="標楷體"/>
          <w:kern w:val="3"/>
          <w:szCs w:val="28"/>
          <w:lang w:eastAsia="zh-HK"/>
        </w:rPr>
        <w:t>獎勵對象認定原則</w:t>
      </w:r>
      <w:r w:rsidRPr="00A664F7">
        <w:rPr>
          <w:rFonts w:eastAsia="標楷體"/>
          <w:color w:val="767171"/>
          <w:kern w:val="3"/>
          <w:szCs w:val="28"/>
          <w:lang w:eastAsia="zh-HK"/>
        </w:rPr>
        <w:t>（應考量學術研究、實務應用研究、跨領域研究、產學研究或國際合作等面向之績效）</w:t>
      </w:r>
    </w:p>
    <w:p w:rsidR="00A664F7" w:rsidRPr="00A664F7" w:rsidRDefault="00A664F7" w:rsidP="00A664F7">
      <w:pPr>
        <w:suppressAutoHyphens/>
        <w:autoSpaceDN w:val="0"/>
        <w:spacing w:line="360" w:lineRule="exact"/>
        <w:ind w:left="709" w:firstLineChars="242" w:firstLine="581"/>
        <w:jc w:val="both"/>
        <w:textAlignment w:val="baseline"/>
        <w:rPr>
          <w:rFonts w:eastAsia="標楷體"/>
          <w:kern w:val="3"/>
        </w:rPr>
      </w:pPr>
      <w:r w:rsidRPr="00A664F7">
        <w:rPr>
          <w:rFonts w:eastAsia="標楷體"/>
          <w:kern w:val="3"/>
        </w:rPr>
        <w:t>本校現職或新聘編制內特殊優秀專任教學研究人員。特殊優秀教學研究人員係指學術研究、產學研究或跨領域研究之績效傑出者，不含教學績效傑出人員、行政工作績效卓著人員及已依相關法令辦理退休之人員。新聘人員係指於國內第一次聘任者，不含自國內公私立大專校院或學術研究機關（構）延攬之人員。</w:t>
      </w:r>
    </w:p>
    <w:p w:rsidR="00A664F7" w:rsidRPr="00A664F7" w:rsidRDefault="00A664F7" w:rsidP="00A664F7">
      <w:pPr>
        <w:numPr>
          <w:ilvl w:val="7"/>
          <w:numId w:val="13"/>
        </w:numPr>
        <w:suppressAutoHyphens/>
        <w:autoSpaceDN w:val="0"/>
        <w:spacing w:line="360" w:lineRule="exact"/>
        <w:ind w:left="1418" w:hanging="425"/>
        <w:jc w:val="both"/>
        <w:textAlignment w:val="baseline"/>
        <w:rPr>
          <w:rFonts w:eastAsia="標楷體"/>
          <w:kern w:val="3"/>
          <w:szCs w:val="28"/>
          <w:lang w:eastAsia="zh-HK"/>
        </w:rPr>
      </w:pPr>
      <w:r w:rsidRPr="00A664F7">
        <w:rPr>
          <w:rFonts w:eastAsia="標楷體"/>
          <w:kern w:val="3"/>
          <w:szCs w:val="28"/>
          <w:lang w:eastAsia="zh-HK"/>
        </w:rPr>
        <w:t>審議流程</w:t>
      </w:r>
    </w:p>
    <w:p w:rsidR="00A664F7" w:rsidRPr="00A664F7" w:rsidRDefault="00A664F7" w:rsidP="00A664F7">
      <w:pPr>
        <w:suppressAutoHyphens/>
        <w:autoSpaceDN w:val="0"/>
        <w:spacing w:line="360" w:lineRule="exact"/>
        <w:ind w:left="709" w:firstLineChars="242" w:firstLine="581"/>
        <w:jc w:val="both"/>
        <w:textAlignment w:val="baseline"/>
        <w:rPr>
          <w:rFonts w:eastAsia="標楷體"/>
          <w:kern w:val="3"/>
          <w:szCs w:val="28"/>
          <w:lang w:eastAsia="zh-HK"/>
        </w:rPr>
      </w:pPr>
      <w:r w:rsidRPr="00A664F7">
        <w:rPr>
          <w:rFonts w:eastAsia="標楷體"/>
          <w:kern w:val="3"/>
          <w:szCs w:val="28"/>
          <w:lang w:eastAsia="zh-HK"/>
        </w:rPr>
        <w:t>由本校研發處製定</w:t>
      </w:r>
      <w:r w:rsidRPr="00A664F7">
        <w:rPr>
          <w:rFonts w:eastAsia="標楷體"/>
          <w:kern w:val="3"/>
          <w:szCs w:val="28"/>
          <w:u w:val="single"/>
          <w:lang w:eastAsia="zh-HK"/>
        </w:rPr>
        <w:t>中華醫事科技大學</w:t>
      </w:r>
      <w:r w:rsidR="00DD31F5">
        <w:rPr>
          <w:rFonts w:eastAsia="標楷體"/>
          <w:kern w:val="3"/>
          <w:szCs w:val="28"/>
          <w:u w:val="single"/>
          <w:lang w:eastAsia="zh-HK"/>
        </w:rPr>
        <w:t>國科會</w:t>
      </w:r>
      <w:r w:rsidRPr="00A664F7">
        <w:rPr>
          <w:rFonts w:eastAsia="標楷體"/>
          <w:kern w:val="3"/>
          <w:szCs w:val="28"/>
          <w:u w:val="single"/>
          <w:lang w:eastAsia="zh-HK"/>
        </w:rPr>
        <w:t>補助大專校院研究獎勵辦法</w:t>
      </w:r>
      <w:r w:rsidRPr="00A664F7">
        <w:rPr>
          <w:rFonts w:eastAsia="標楷體"/>
          <w:kern w:val="3"/>
          <w:szCs w:val="28"/>
          <w:lang w:eastAsia="zh-HK"/>
        </w:rPr>
        <w:t>，並經</w:t>
      </w:r>
      <w:r w:rsidRPr="00A664F7">
        <w:rPr>
          <w:rFonts w:eastAsia="標楷體"/>
          <w:kern w:val="3"/>
          <w:szCs w:val="28"/>
          <w:u w:val="single"/>
          <w:lang w:eastAsia="zh-HK"/>
        </w:rPr>
        <w:t>研發委員會及行政會議</w:t>
      </w:r>
      <w:r w:rsidRPr="00A664F7">
        <w:rPr>
          <w:rFonts w:eastAsia="標楷體"/>
          <w:kern w:val="3"/>
          <w:szCs w:val="28"/>
          <w:lang w:eastAsia="zh-HK"/>
        </w:rPr>
        <w:t>審議通過，陳請校長同意後實施。召開研發委員會，聘請校內不參與申請之研發委員，進行校內優秀研發人才評選，擬定推薦名單及理由。獎勵金額依</w:t>
      </w:r>
      <w:r w:rsidR="00DD31F5">
        <w:rPr>
          <w:rFonts w:eastAsia="標楷體"/>
          <w:kern w:val="3"/>
          <w:szCs w:val="28"/>
          <w:lang w:eastAsia="zh-HK"/>
        </w:rPr>
        <w:t>國科會</w:t>
      </w:r>
      <w:r w:rsidRPr="00A664F7">
        <w:rPr>
          <w:rFonts w:eastAsia="標楷體"/>
          <w:kern w:val="3"/>
          <w:szCs w:val="28"/>
          <w:lang w:eastAsia="zh-HK"/>
        </w:rPr>
        <w:t>當年可申請補助額度調整。若總申請人數及金額超過</w:t>
      </w:r>
      <w:r w:rsidR="00DD31F5">
        <w:rPr>
          <w:rFonts w:eastAsia="標楷體"/>
          <w:kern w:val="3"/>
          <w:szCs w:val="28"/>
          <w:lang w:eastAsia="zh-HK"/>
        </w:rPr>
        <w:t>國科會</w:t>
      </w:r>
      <w:r w:rsidRPr="00A664F7">
        <w:rPr>
          <w:rFonts w:eastAsia="標楷體"/>
          <w:kern w:val="3"/>
          <w:szCs w:val="28"/>
          <w:lang w:eastAsia="zh-HK"/>
        </w:rPr>
        <w:t>補助額度，則以申請人研發成果計點表積分排序，補助總金額不超過</w:t>
      </w:r>
      <w:r w:rsidR="00DD31F5">
        <w:rPr>
          <w:rFonts w:eastAsia="標楷體"/>
          <w:kern w:val="3"/>
          <w:szCs w:val="28"/>
          <w:lang w:eastAsia="zh-HK"/>
        </w:rPr>
        <w:t>國科會</w:t>
      </w:r>
      <w:r w:rsidRPr="00A664F7">
        <w:rPr>
          <w:rFonts w:eastAsia="標楷體"/>
          <w:kern w:val="3"/>
          <w:szCs w:val="28"/>
          <w:lang w:eastAsia="zh-HK"/>
        </w:rPr>
        <w:t>補助額度。</w:t>
      </w:r>
      <w:r w:rsidRPr="00A664F7">
        <w:rPr>
          <w:rFonts w:eastAsia="標楷體"/>
          <w:bCs/>
          <w:kern w:val="3"/>
          <w:szCs w:val="28"/>
          <w:lang w:eastAsia="zh-HK"/>
        </w:rPr>
        <w:t>獎勵金額每人每月最高不得逾新臺幣二十萬元，最低不得少於新臺幣五千元。</w:t>
      </w:r>
    </w:p>
    <w:p w:rsidR="00A664F7" w:rsidRPr="00A664F7" w:rsidRDefault="00A664F7" w:rsidP="00A664F7">
      <w:pPr>
        <w:numPr>
          <w:ilvl w:val="7"/>
          <w:numId w:val="13"/>
        </w:numPr>
        <w:suppressAutoHyphens/>
        <w:autoSpaceDN w:val="0"/>
        <w:spacing w:line="360" w:lineRule="exact"/>
        <w:ind w:left="1418" w:hanging="425"/>
        <w:jc w:val="both"/>
        <w:textAlignment w:val="baseline"/>
        <w:rPr>
          <w:kern w:val="3"/>
        </w:rPr>
      </w:pPr>
      <w:r w:rsidRPr="00A664F7">
        <w:rPr>
          <w:rFonts w:eastAsia="標楷體"/>
          <w:kern w:val="3"/>
          <w:szCs w:val="28"/>
          <w:lang w:eastAsia="zh-HK"/>
        </w:rPr>
        <w:t>獎勵級距及核給比例</w:t>
      </w:r>
      <w:r w:rsidRPr="00A664F7">
        <w:rPr>
          <w:rFonts w:eastAsia="標楷體"/>
          <w:color w:val="767171"/>
          <w:kern w:val="3"/>
          <w:szCs w:val="28"/>
          <w:lang w:eastAsia="zh-HK"/>
        </w:rPr>
        <w:t>（含自訂副教授職級以下之最低比例）</w:t>
      </w:r>
    </w:p>
    <w:p w:rsidR="00A664F7" w:rsidRPr="00A664F7" w:rsidRDefault="00A664F7" w:rsidP="00A664F7">
      <w:pPr>
        <w:numPr>
          <w:ilvl w:val="0"/>
          <w:numId w:val="14"/>
        </w:numPr>
        <w:suppressAutoHyphens/>
        <w:autoSpaceDN w:val="0"/>
        <w:spacing w:line="360" w:lineRule="exact"/>
        <w:ind w:left="1701" w:hanging="283"/>
        <w:jc w:val="both"/>
        <w:textAlignment w:val="baseline"/>
        <w:rPr>
          <w:rFonts w:eastAsia="標楷體"/>
        </w:rPr>
      </w:pPr>
      <w:r w:rsidRPr="00A664F7">
        <w:rPr>
          <w:rFonts w:eastAsia="標楷體"/>
        </w:rPr>
        <w:t>獎勵金額係以等級</w:t>
      </w:r>
      <w:r w:rsidRPr="00A664F7">
        <w:rPr>
          <w:rFonts w:eastAsia="標楷體"/>
        </w:rPr>
        <w:t>(</w:t>
      </w:r>
      <w:r w:rsidRPr="00A664F7">
        <w:rPr>
          <w:rFonts w:eastAsia="標楷體"/>
        </w:rPr>
        <w:t>依總計點數之排序</w:t>
      </w:r>
      <w:r w:rsidRPr="00A664F7">
        <w:rPr>
          <w:rFonts w:eastAsia="標楷體"/>
        </w:rPr>
        <w:t>)</w:t>
      </w:r>
      <w:r w:rsidRPr="00A664F7">
        <w:rPr>
          <w:rFonts w:eastAsia="標楷體"/>
        </w:rPr>
        <w:t>方式進行，分置三級，獎勵金額依</w:t>
      </w:r>
      <w:r w:rsidR="00DD31F5">
        <w:rPr>
          <w:rFonts w:eastAsia="標楷體"/>
        </w:rPr>
        <w:t>國科會</w:t>
      </w:r>
      <w:r w:rsidRPr="00A664F7">
        <w:rPr>
          <w:rFonts w:eastAsia="標楷體"/>
        </w:rPr>
        <w:t>當年可申請補助額度調整。若總申請人數及金額超過</w:t>
      </w:r>
      <w:r w:rsidR="00DD31F5">
        <w:rPr>
          <w:rFonts w:eastAsia="標楷體"/>
        </w:rPr>
        <w:t>國科會</w:t>
      </w:r>
      <w:r w:rsidRPr="00A664F7">
        <w:rPr>
          <w:rFonts w:eastAsia="標楷體"/>
        </w:rPr>
        <w:t>補助額度，則以申請人點數排序，總金額不超過</w:t>
      </w:r>
      <w:r w:rsidR="00DD31F5">
        <w:rPr>
          <w:rFonts w:eastAsia="標楷體"/>
        </w:rPr>
        <w:t>國科會</w:t>
      </w:r>
      <w:r w:rsidRPr="00A664F7">
        <w:rPr>
          <w:rFonts w:eastAsia="標楷體"/>
        </w:rPr>
        <w:t>補助額度。獎勵金額每人每月最高</w:t>
      </w:r>
      <w:proofErr w:type="gramStart"/>
      <w:r w:rsidRPr="00A664F7">
        <w:rPr>
          <w:rFonts w:eastAsia="標楷體"/>
        </w:rPr>
        <w:t>不得逾新臺幣</w:t>
      </w:r>
      <w:proofErr w:type="gramEnd"/>
      <w:r w:rsidRPr="00A664F7">
        <w:rPr>
          <w:rFonts w:eastAsia="標楷體"/>
        </w:rPr>
        <w:t>二十萬元，最低不得少於新臺幣五千元。</w:t>
      </w:r>
    </w:p>
    <w:p w:rsidR="00A664F7" w:rsidRPr="00A664F7" w:rsidRDefault="00A664F7" w:rsidP="00A664F7">
      <w:pPr>
        <w:numPr>
          <w:ilvl w:val="0"/>
          <w:numId w:val="14"/>
        </w:numPr>
        <w:suppressAutoHyphens/>
        <w:autoSpaceDN w:val="0"/>
        <w:spacing w:line="360" w:lineRule="exact"/>
        <w:ind w:left="1701" w:hanging="283"/>
        <w:jc w:val="both"/>
        <w:textAlignment w:val="baseline"/>
        <w:rPr>
          <w:rFonts w:eastAsia="標楷體"/>
        </w:rPr>
      </w:pPr>
      <w:r w:rsidRPr="00A664F7">
        <w:rPr>
          <w:rFonts w:eastAsia="標楷體"/>
        </w:rPr>
        <w:t>獎勵人才類別核給比例，依本校</w:t>
      </w:r>
      <w:r w:rsidR="00DD31F5">
        <w:rPr>
          <w:rFonts w:eastAsia="標楷體"/>
        </w:rPr>
        <w:t>國科會</w:t>
      </w:r>
      <w:r w:rsidRPr="00A664F7">
        <w:rPr>
          <w:rFonts w:eastAsia="標楷體"/>
        </w:rPr>
        <w:t>計畫核定補助各學門比例金額訂定，分人文</w:t>
      </w:r>
      <w:r w:rsidRPr="00A664F7">
        <w:rPr>
          <w:rFonts w:eastAsia="標楷體"/>
        </w:rPr>
        <w:t>(</w:t>
      </w:r>
      <w:r w:rsidRPr="00A664F7">
        <w:rPr>
          <w:rFonts w:eastAsia="標楷體"/>
        </w:rPr>
        <w:t>人文司</w:t>
      </w:r>
      <w:r w:rsidRPr="00A664F7">
        <w:rPr>
          <w:rFonts w:eastAsia="標楷體"/>
        </w:rPr>
        <w:t>)</w:t>
      </w:r>
      <w:r w:rsidRPr="00A664F7">
        <w:rPr>
          <w:rFonts w:eastAsia="標楷體"/>
        </w:rPr>
        <w:t>及科學</w:t>
      </w:r>
      <w:r w:rsidRPr="00A664F7">
        <w:rPr>
          <w:rFonts w:eastAsia="標楷體"/>
        </w:rPr>
        <w:t>(</w:t>
      </w:r>
      <w:r w:rsidRPr="00A664F7">
        <w:rPr>
          <w:rFonts w:eastAsia="標楷體"/>
        </w:rPr>
        <w:t>自然司、工程司、</w:t>
      </w:r>
      <w:proofErr w:type="gramStart"/>
      <w:r w:rsidRPr="00A664F7">
        <w:rPr>
          <w:rFonts w:eastAsia="標楷體"/>
        </w:rPr>
        <w:t>生科司</w:t>
      </w:r>
      <w:proofErr w:type="gramEnd"/>
      <w:r w:rsidRPr="00A664F7">
        <w:rPr>
          <w:rFonts w:eastAsia="標楷體"/>
        </w:rPr>
        <w:t>、科</w:t>
      </w:r>
      <w:proofErr w:type="gramStart"/>
      <w:r w:rsidRPr="00A664F7">
        <w:rPr>
          <w:rFonts w:eastAsia="標楷體"/>
        </w:rPr>
        <w:t>教國合</w:t>
      </w:r>
      <w:proofErr w:type="gramEnd"/>
      <w:r w:rsidRPr="00A664F7">
        <w:rPr>
          <w:rFonts w:eastAsia="標楷體"/>
        </w:rPr>
        <w:t>司</w:t>
      </w:r>
      <w:r w:rsidRPr="00A664F7">
        <w:rPr>
          <w:rFonts w:eastAsia="標楷體"/>
        </w:rPr>
        <w:t>)</w:t>
      </w:r>
      <w:r w:rsidRPr="00A664F7">
        <w:rPr>
          <w:rFonts w:eastAsia="標楷體"/>
        </w:rPr>
        <w:t>領域，經研發委員會決議得酌予調整比例。</w:t>
      </w:r>
    </w:p>
    <w:p w:rsidR="00A664F7" w:rsidRPr="00A664F7" w:rsidRDefault="00A664F7" w:rsidP="00A664F7">
      <w:pPr>
        <w:numPr>
          <w:ilvl w:val="0"/>
          <w:numId w:val="14"/>
        </w:numPr>
        <w:suppressAutoHyphens/>
        <w:autoSpaceDN w:val="0"/>
        <w:spacing w:line="360" w:lineRule="exact"/>
        <w:ind w:left="1701" w:hanging="283"/>
        <w:jc w:val="both"/>
        <w:textAlignment w:val="baseline"/>
        <w:rPr>
          <w:rFonts w:eastAsia="標楷體"/>
        </w:rPr>
      </w:pPr>
      <w:r w:rsidRPr="00A664F7">
        <w:rPr>
          <w:rFonts w:eastAsia="標楷體"/>
        </w:rPr>
        <w:t>獎勵人數不得逾前一年度執行</w:t>
      </w:r>
      <w:r w:rsidR="00DD31F5">
        <w:rPr>
          <w:rFonts w:eastAsia="標楷體"/>
        </w:rPr>
        <w:t>國科會</w:t>
      </w:r>
      <w:r w:rsidRPr="00A664F7">
        <w:rPr>
          <w:rFonts w:eastAsia="標楷體"/>
        </w:rPr>
        <w:t>補助研究計畫之計畫主持人總人數百分之四十。</w:t>
      </w:r>
    </w:p>
    <w:p w:rsidR="00A664F7" w:rsidRPr="00A664F7" w:rsidRDefault="00A664F7" w:rsidP="00A664F7">
      <w:pPr>
        <w:numPr>
          <w:ilvl w:val="0"/>
          <w:numId w:val="14"/>
        </w:numPr>
        <w:suppressAutoHyphens/>
        <w:autoSpaceDN w:val="0"/>
        <w:spacing w:line="360" w:lineRule="exact"/>
        <w:ind w:left="1701" w:hanging="283"/>
        <w:jc w:val="both"/>
        <w:textAlignment w:val="baseline"/>
        <w:rPr>
          <w:rFonts w:eastAsia="標楷體"/>
        </w:rPr>
      </w:pPr>
      <w:r w:rsidRPr="00A664F7">
        <w:rPr>
          <w:rFonts w:eastAsia="標楷體"/>
        </w:rPr>
        <w:t>為鼓勵年輕研究人員，副教授</w:t>
      </w:r>
      <w:r w:rsidRPr="00A664F7">
        <w:rPr>
          <w:rFonts w:eastAsia="標楷體"/>
        </w:rPr>
        <w:t>(</w:t>
      </w:r>
      <w:r w:rsidRPr="00A664F7">
        <w:rPr>
          <w:rFonts w:eastAsia="標楷體"/>
        </w:rPr>
        <w:t>含</w:t>
      </w:r>
      <w:r w:rsidRPr="00A664F7">
        <w:rPr>
          <w:rFonts w:eastAsia="標楷體"/>
        </w:rPr>
        <w:t>)</w:t>
      </w:r>
      <w:r w:rsidRPr="00A664F7">
        <w:rPr>
          <w:rFonts w:eastAsia="標楷體"/>
        </w:rPr>
        <w:t>以下職級人數</w:t>
      </w:r>
      <w:proofErr w:type="gramStart"/>
      <w:r w:rsidRPr="00A664F7">
        <w:rPr>
          <w:rFonts w:eastAsia="標楷體"/>
        </w:rPr>
        <w:t>佔</w:t>
      </w:r>
      <w:proofErr w:type="gramEnd"/>
      <w:r w:rsidRPr="00A664F7">
        <w:rPr>
          <w:rFonts w:eastAsia="標楷體"/>
        </w:rPr>
        <w:t>獲獎勵至少</w:t>
      </w:r>
      <w:r w:rsidRPr="00A664F7">
        <w:rPr>
          <w:rFonts w:eastAsia="標楷體"/>
        </w:rPr>
        <w:t>25%</w:t>
      </w:r>
      <w:r w:rsidRPr="00A664F7">
        <w:rPr>
          <w:rFonts w:eastAsia="標楷體"/>
        </w:rPr>
        <w:t>，但若當年度申請者低於</w:t>
      </w:r>
      <w:r w:rsidRPr="00A664F7">
        <w:rPr>
          <w:rFonts w:eastAsia="標楷體"/>
        </w:rPr>
        <w:t>25%</w:t>
      </w:r>
      <w:r w:rsidRPr="00A664F7">
        <w:rPr>
          <w:rFonts w:eastAsia="標楷體"/>
        </w:rPr>
        <w:t>則不在此限。</w:t>
      </w:r>
    </w:p>
    <w:p w:rsidR="00A664F7" w:rsidRPr="00A664F7" w:rsidRDefault="00A664F7" w:rsidP="00A664F7">
      <w:pPr>
        <w:numPr>
          <w:ilvl w:val="0"/>
          <w:numId w:val="14"/>
        </w:numPr>
        <w:suppressAutoHyphens/>
        <w:autoSpaceDN w:val="0"/>
        <w:spacing w:line="360" w:lineRule="exact"/>
        <w:ind w:left="1701" w:hanging="283"/>
        <w:jc w:val="both"/>
        <w:textAlignment w:val="baseline"/>
        <w:rPr>
          <w:rFonts w:eastAsia="標楷體"/>
        </w:rPr>
      </w:pPr>
      <w:r w:rsidRPr="00A664F7">
        <w:rPr>
          <w:rFonts w:eastAsia="標楷體"/>
        </w:rPr>
        <w:t>為強化對新聘任優秀研究人員之保障，促使獎勵資源之合理分配，針對本校新聘任</w:t>
      </w:r>
      <w:proofErr w:type="gramStart"/>
      <w:r w:rsidRPr="00A664F7">
        <w:rPr>
          <w:rFonts w:eastAsia="標楷體"/>
        </w:rPr>
        <w:t>三</w:t>
      </w:r>
      <w:proofErr w:type="gramEnd"/>
      <w:r w:rsidRPr="00A664F7">
        <w:rPr>
          <w:rFonts w:eastAsia="標楷體"/>
        </w:rPr>
        <w:t>年內且執行本部研究計畫之計畫主持人，教授級、副教授級、助理教授級之獎勵對象，其獎勵額度每人每月各不得低於八萬元、六萬元、三萬</w:t>
      </w:r>
      <w:r w:rsidRPr="00A664F7">
        <w:rPr>
          <w:rFonts w:eastAsia="標楷體"/>
        </w:rPr>
        <w:lastRenderedPageBreak/>
        <w:t>元。但此類獎勵對象應符合下列資格之</w:t>
      </w:r>
      <w:proofErr w:type="gramStart"/>
      <w:r w:rsidRPr="00A664F7">
        <w:rPr>
          <w:rFonts w:eastAsia="標楷體"/>
        </w:rPr>
        <w:t>一</w:t>
      </w:r>
      <w:proofErr w:type="gramEnd"/>
      <w:r w:rsidRPr="00A664F7">
        <w:rPr>
          <w:rFonts w:eastAsia="標楷體"/>
        </w:rPr>
        <w:t>：</w:t>
      </w:r>
    </w:p>
    <w:p w:rsidR="00A664F7" w:rsidRPr="00A664F7" w:rsidRDefault="00A664F7" w:rsidP="00A664F7">
      <w:pPr>
        <w:numPr>
          <w:ilvl w:val="0"/>
          <w:numId w:val="15"/>
        </w:numPr>
        <w:suppressAutoHyphens/>
        <w:autoSpaceDN w:val="0"/>
        <w:spacing w:line="360" w:lineRule="exact"/>
        <w:ind w:hanging="197"/>
        <w:jc w:val="both"/>
        <w:textAlignment w:val="baseline"/>
        <w:rPr>
          <w:rFonts w:eastAsia="標楷體"/>
        </w:rPr>
      </w:pPr>
      <w:proofErr w:type="gramStart"/>
      <w:r w:rsidRPr="00A664F7">
        <w:rPr>
          <w:rFonts w:eastAsia="標楷體"/>
        </w:rPr>
        <w:t>非曾任</w:t>
      </w:r>
      <w:proofErr w:type="gramEnd"/>
      <w:r w:rsidRPr="00A664F7">
        <w:rPr>
          <w:rFonts w:eastAsia="標楷體"/>
        </w:rPr>
        <w:t>或非現任國內學術研究機構編制內之專任教學、研究人員。</w:t>
      </w:r>
    </w:p>
    <w:p w:rsidR="00A664F7" w:rsidRPr="00A664F7" w:rsidRDefault="00A664F7" w:rsidP="00A664F7">
      <w:pPr>
        <w:numPr>
          <w:ilvl w:val="0"/>
          <w:numId w:val="15"/>
        </w:numPr>
        <w:suppressAutoHyphens/>
        <w:autoSpaceDN w:val="0"/>
        <w:spacing w:line="360" w:lineRule="exact"/>
        <w:ind w:left="1843" w:hanging="197"/>
        <w:jc w:val="both"/>
        <w:textAlignment w:val="baseline"/>
        <w:rPr>
          <w:rFonts w:eastAsia="標楷體"/>
        </w:rPr>
      </w:pPr>
      <w:r w:rsidRPr="00A664F7">
        <w:rPr>
          <w:rFonts w:eastAsia="標楷體"/>
        </w:rPr>
        <w:t>於申請機構正式納編前五年間均任職於國外學術研究機構。</w:t>
      </w:r>
    </w:p>
    <w:p w:rsidR="00A664F7" w:rsidRPr="00A664F7" w:rsidRDefault="00A664F7" w:rsidP="00A664F7">
      <w:pPr>
        <w:numPr>
          <w:ilvl w:val="7"/>
          <w:numId w:val="13"/>
        </w:numPr>
        <w:suppressAutoHyphens/>
        <w:autoSpaceDN w:val="0"/>
        <w:spacing w:line="360" w:lineRule="exact"/>
        <w:ind w:left="1418" w:hanging="425"/>
        <w:jc w:val="both"/>
        <w:textAlignment w:val="baseline"/>
        <w:rPr>
          <w:rFonts w:eastAsia="標楷體"/>
          <w:kern w:val="3"/>
          <w:szCs w:val="28"/>
          <w:lang w:eastAsia="zh-HK"/>
        </w:rPr>
      </w:pPr>
      <w:r w:rsidRPr="00A664F7">
        <w:rPr>
          <w:rFonts w:eastAsia="標楷體"/>
          <w:kern w:val="3"/>
          <w:szCs w:val="28"/>
          <w:lang w:eastAsia="zh-HK"/>
        </w:rPr>
        <w:t>定期評估標準</w:t>
      </w:r>
    </w:p>
    <w:p w:rsidR="00A664F7" w:rsidRPr="00A664F7" w:rsidRDefault="00A664F7" w:rsidP="00A664F7">
      <w:pPr>
        <w:suppressAutoHyphens/>
        <w:autoSpaceDN w:val="0"/>
        <w:spacing w:line="360" w:lineRule="exact"/>
        <w:ind w:leftChars="591" w:left="1699" w:hangingChars="117" w:hanging="281"/>
        <w:jc w:val="both"/>
        <w:textAlignment w:val="baseline"/>
        <w:rPr>
          <w:rFonts w:eastAsia="標楷體"/>
          <w:kern w:val="3"/>
          <w:szCs w:val="28"/>
          <w:lang w:eastAsia="zh-HK"/>
        </w:rPr>
      </w:pPr>
      <w:r w:rsidRPr="00A664F7">
        <w:rPr>
          <w:rFonts w:eastAsia="標楷體"/>
          <w:kern w:val="3"/>
          <w:szCs w:val="28"/>
          <w:lang w:eastAsia="zh-HK"/>
        </w:rPr>
        <w:t xml:space="preserve">1. </w:t>
      </w:r>
      <w:r w:rsidRPr="00A664F7">
        <w:rPr>
          <w:rFonts w:eastAsia="標楷體"/>
          <w:kern w:val="3"/>
          <w:szCs w:val="28"/>
          <w:lang w:eastAsia="zh-HK"/>
        </w:rPr>
        <w:t>獲第</w:t>
      </w:r>
      <w:r w:rsidRPr="00A664F7">
        <w:rPr>
          <w:rFonts w:eastAsia="標楷體"/>
          <w:kern w:val="3"/>
          <w:szCs w:val="28"/>
          <w:lang w:eastAsia="zh-HK"/>
        </w:rPr>
        <w:t>1</w:t>
      </w:r>
      <w:r w:rsidRPr="00A664F7">
        <w:rPr>
          <w:rFonts w:eastAsia="標楷體"/>
          <w:kern w:val="3"/>
          <w:szCs w:val="28"/>
          <w:lang w:eastAsia="zh-HK"/>
        </w:rPr>
        <w:t>級獎助之獲獎者，需於當年度檢附</w:t>
      </w:r>
      <w:r w:rsidRPr="00A664F7">
        <w:rPr>
          <w:rFonts w:eastAsia="標楷體"/>
          <w:kern w:val="3"/>
          <w:szCs w:val="28"/>
          <w:lang w:eastAsia="zh-HK"/>
        </w:rPr>
        <w:t>”</w:t>
      </w:r>
      <w:r w:rsidRPr="00A664F7">
        <w:rPr>
          <w:rFonts w:eastAsia="標楷體"/>
          <w:kern w:val="3"/>
          <w:szCs w:val="28"/>
          <w:lang w:eastAsia="zh-HK"/>
        </w:rPr>
        <w:t>發表接受</w:t>
      </w:r>
      <w:r w:rsidRPr="00A664F7">
        <w:rPr>
          <w:rFonts w:eastAsia="標楷體"/>
          <w:kern w:val="3"/>
          <w:szCs w:val="28"/>
          <w:lang w:eastAsia="zh-HK"/>
        </w:rPr>
        <w:t>”(</w:t>
      </w:r>
      <w:r w:rsidRPr="00A664F7">
        <w:rPr>
          <w:rFonts w:eastAsia="標楷體"/>
          <w:kern w:val="3"/>
          <w:szCs w:val="28"/>
          <w:lang w:eastAsia="zh-HK"/>
        </w:rPr>
        <w:t>或專利、技轉</w:t>
      </w:r>
      <w:r w:rsidRPr="00A664F7">
        <w:rPr>
          <w:rFonts w:eastAsia="標楷體"/>
          <w:kern w:val="3"/>
          <w:szCs w:val="28"/>
          <w:lang w:eastAsia="zh-HK"/>
        </w:rPr>
        <w:t>)</w:t>
      </w:r>
      <w:r w:rsidRPr="00A664F7">
        <w:rPr>
          <w:rFonts w:eastAsia="標楷體"/>
          <w:kern w:val="3"/>
          <w:szCs w:val="28"/>
          <w:lang w:eastAsia="zh-HK"/>
        </w:rPr>
        <w:t>證明至少</w:t>
      </w:r>
      <w:r w:rsidRPr="00A664F7">
        <w:rPr>
          <w:rFonts w:eastAsia="標楷體"/>
          <w:kern w:val="3"/>
          <w:szCs w:val="28"/>
          <w:lang w:eastAsia="zh-HK"/>
        </w:rPr>
        <w:t>2</w:t>
      </w:r>
      <w:r w:rsidRPr="00A664F7">
        <w:rPr>
          <w:rFonts w:eastAsia="標楷體"/>
          <w:kern w:val="3"/>
          <w:szCs w:val="28"/>
          <w:lang w:eastAsia="zh-HK"/>
        </w:rPr>
        <w:t>篇</w:t>
      </w:r>
      <w:r w:rsidRPr="00A664F7">
        <w:rPr>
          <w:rFonts w:eastAsia="標楷體"/>
          <w:kern w:val="3"/>
          <w:szCs w:val="28"/>
          <w:lang w:eastAsia="zh-HK"/>
        </w:rPr>
        <w:t>(</w:t>
      </w:r>
      <w:r w:rsidRPr="00A664F7">
        <w:rPr>
          <w:rFonts w:eastAsia="標楷體"/>
          <w:kern w:val="3"/>
          <w:szCs w:val="28"/>
          <w:lang w:eastAsia="zh-HK"/>
        </w:rPr>
        <w:t>件</w:t>
      </w:r>
      <w:r w:rsidRPr="00A664F7">
        <w:rPr>
          <w:rFonts w:eastAsia="標楷體"/>
          <w:kern w:val="3"/>
          <w:szCs w:val="28"/>
          <w:lang w:eastAsia="zh-HK"/>
        </w:rPr>
        <w:t>)</w:t>
      </w:r>
      <w:r w:rsidRPr="00A664F7">
        <w:rPr>
          <w:rFonts w:eastAsia="標楷體"/>
          <w:kern w:val="3"/>
          <w:szCs w:val="28"/>
          <w:lang w:eastAsia="zh-HK"/>
        </w:rPr>
        <w:t>，並承接至少</w:t>
      </w:r>
      <w:r w:rsidRPr="00A664F7">
        <w:rPr>
          <w:rFonts w:eastAsia="標楷體"/>
          <w:kern w:val="3"/>
          <w:szCs w:val="28"/>
          <w:lang w:eastAsia="zh-HK"/>
        </w:rPr>
        <w:t>3</w:t>
      </w:r>
      <w:r w:rsidRPr="00A664F7">
        <w:rPr>
          <w:rFonts w:eastAsia="標楷體"/>
          <w:kern w:val="3"/>
          <w:szCs w:val="28"/>
          <w:lang w:eastAsia="zh-HK"/>
        </w:rPr>
        <w:t>件以上</w:t>
      </w:r>
      <w:r w:rsidR="00DD31F5">
        <w:rPr>
          <w:rFonts w:eastAsia="標楷體"/>
          <w:kern w:val="3"/>
          <w:szCs w:val="28"/>
          <w:lang w:eastAsia="zh-HK"/>
        </w:rPr>
        <w:t>國科會</w:t>
      </w:r>
      <w:r w:rsidRPr="00A664F7">
        <w:rPr>
          <w:rFonts w:eastAsia="標楷體"/>
          <w:kern w:val="3"/>
          <w:szCs w:val="28"/>
          <w:lang w:eastAsia="zh-HK"/>
        </w:rPr>
        <w:t>專題研究、產學合作研究專案或其他政府單位計畫。</w:t>
      </w:r>
    </w:p>
    <w:p w:rsidR="00A664F7" w:rsidRPr="00A664F7" w:rsidRDefault="00A664F7" w:rsidP="00A664F7">
      <w:pPr>
        <w:suppressAutoHyphens/>
        <w:autoSpaceDN w:val="0"/>
        <w:spacing w:line="360" w:lineRule="exact"/>
        <w:ind w:leftChars="591" w:left="1699" w:hangingChars="117" w:hanging="281"/>
        <w:jc w:val="both"/>
        <w:textAlignment w:val="baseline"/>
        <w:rPr>
          <w:rFonts w:eastAsia="標楷體"/>
          <w:kern w:val="3"/>
          <w:szCs w:val="28"/>
          <w:lang w:eastAsia="zh-HK"/>
        </w:rPr>
      </w:pPr>
      <w:r w:rsidRPr="00A664F7">
        <w:rPr>
          <w:rFonts w:eastAsia="標楷體"/>
          <w:kern w:val="3"/>
          <w:szCs w:val="28"/>
          <w:lang w:eastAsia="zh-HK"/>
        </w:rPr>
        <w:t xml:space="preserve">2. </w:t>
      </w:r>
      <w:r w:rsidRPr="00A664F7">
        <w:rPr>
          <w:rFonts w:eastAsia="標楷體"/>
          <w:kern w:val="3"/>
          <w:szCs w:val="28"/>
          <w:lang w:eastAsia="zh-HK"/>
        </w:rPr>
        <w:t>獲第</w:t>
      </w:r>
      <w:r w:rsidRPr="00A664F7">
        <w:rPr>
          <w:rFonts w:eastAsia="標楷體"/>
          <w:kern w:val="3"/>
          <w:szCs w:val="28"/>
          <w:lang w:eastAsia="zh-HK"/>
        </w:rPr>
        <w:t>2</w:t>
      </w:r>
      <w:r w:rsidRPr="00A664F7">
        <w:rPr>
          <w:rFonts w:eastAsia="標楷體"/>
          <w:kern w:val="3"/>
          <w:szCs w:val="28"/>
          <w:lang w:eastAsia="zh-HK"/>
        </w:rPr>
        <w:t>級獎助之獲獎者，需於當年度檢附</w:t>
      </w:r>
      <w:r w:rsidRPr="00A664F7">
        <w:rPr>
          <w:rFonts w:eastAsia="標楷體"/>
          <w:kern w:val="3"/>
          <w:szCs w:val="28"/>
          <w:lang w:eastAsia="zh-HK"/>
        </w:rPr>
        <w:t>”</w:t>
      </w:r>
      <w:r w:rsidRPr="00A664F7">
        <w:rPr>
          <w:rFonts w:eastAsia="標楷體"/>
          <w:kern w:val="3"/>
          <w:szCs w:val="28"/>
          <w:lang w:eastAsia="zh-HK"/>
        </w:rPr>
        <w:t>發表接受</w:t>
      </w:r>
      <w:r w:rsidRPr="00A664F7">
        <w:rPr>
          <w:rFonts w:eastAsia="標楷體"/>
          <w:kern w:val="3"/>
          <w:szCs w:val="28"/>
          <w:lang w:eastAsia="zh-HK"/>
        </w:rPr>
        <w:t>”(</w:t>
      </w:r>
      <w:r w:rsidRPr="00A664F7">
        <w:rPr>
          <w:rFonts w:eastAsia="標楷體"/>
          <w:kern w:val="3"/>
          <w:szCs w:val="28"/>
          <w:lang w:eastAsia="zh-HK"/>
        </w:rPr>
        <w:t>或專利、技轉</w:t>
      </w:r>
      <w:r w:rsidRPr="00A664F7">
        <w:rPr>
          <w:rFonts w:eastAsia="標楷體"/>
          <w:kern w:val="3"/>
          <w:szCs w:val="28"/>
          <w:lang w:eastAsia="zh-HK"/>
        </w:rPr>
        <w:t>)</w:t>
      </w:r>
      <w:r w:rsidRPr="00A664F7">
        <w:rPr>
          <w:rFonts w:eastAsia="標楷體"/>
          <w:kern w:val="3"/>
          <w:szCs w:val="28"/>
          <w:lang w:eastAsia="zh-HK"/>
        </w:rPr>
        <w:t>證明至少</w:t>
      </w:r>
      <w:r w:rsidRPr="00A664F7">
        <w:rPr>
          <w:rFonts w:eastAsia="標楷體"/>
          <w:kern w:val="3"/>
          <w:szCs w:val="28"/>
          <w:lang w:eastAsia="zh-HK"/>
        </w:rPr>
        <w:t>2</w:t>
      </w:r>
      <w:r w:rsidRPr="00A664F7">
        <w:rPr>
          <w:rFonts w:eastAsia="標楷體"/>
          <w:kern w:val="3"/>
          <w:szCs w:val="28"/>
          <w:lang w:eastAsia="zh-HK"/>
        </w:rPr>
        <w:t>篇</w:t>
      </w:r>
      <w:r w:rsidRPr="00A664F7">
        <w:rPr>
          <w:rFonts w:eastAsia="標楷體"/>
          <w:kern w:val="3"/>
          <w:szCs w:val="28"/>
          <w:lang w:eastAsia="zh-HK"/>
        </w:rPr>
        <w:t>(</w:t>
      </w:r>
      <w:r w:rsidRPr="00A664F7">
        <w:rPr>
          <w:rFonts w:eastAsia="標楷體"/>
          <w:kern w:val="3"/>
          <w:szCs w:val="28"/>
          <w:lang w:eastAsia="zh-HK"/>
        </w:rPr>
        <w:t>件</w:t>
      </w:r>
      <w:r w:rsidRPr="00A664F7">
        <w:rPr>
          <w:rFonts w:eastAsia="標楷體"/>
          <w:kern w:val="3"/>
          <w:szCs w:val="28"/>
          <w:lang w:eastAsia="zh-HK"/>
        </w:rPr>
        <w:t>)</w:t>
      </w:r>
      <w:r w:rsidRPr="00A664F7">
        <w:rPr>
          <w:rFonts w:eastAsia="標楷體"/>
          <w:kern w:val="3"/>
          <w:szCs w:val="28"/>
          <w:lang w:eastAsia="zh-HK"/>
        </w:rPr>
        <w:t>，並承接至少</w:t>
      </w:r>
      <w:r w:rsidRPr="00A664F7">
        <w:rPr>
          <w:rFonts w:eastAsia="標楷體"/>
          <w:kern w:val="3"/>
          <w:szCs w:val="28"/>
          <w:lang w:eastAsia="zh-HK"/>
        </w:rPr>
        <w:t>2</w:t>
      </w:r>
      <w:r w:rsidRPr="00A664F7">
        <w:rPr>
          <w:rFonts w:eastAsia="標楷體"/>
          <w:kern w:val="3"/>
          <w:szCs w:val="28"/>
          <w:lang w:eastAsia="zh-HK"/>
        </w:rPr>
        <w:t>件以上</w:t>
      </w:r>
      <w:r w:rsidR="00DD31F5">
        <w:rPr>
          <w:rFonts w:eastAsia="標楷體"/>
          <w:kern w:val="3"/>
          <w:szCs w:val="28"/>
          <w:lang w:eastAsia="zh-HK"/>
        </w:rPr>
        <w:t>國科會</w:t>
      </w:r>
      <w:r w:rsidRPr="00A664F7">
        <w:rPr>
          <w:rFonts w:eastAsia="標楷體"/>
          <w:kern w:val="3"/>
          <w:szCs w:val="28"/>
          <w:lang w:eastAsia="zh-HK"/>
        </w:rPr>
        <w:t>專題研究、產學合作研究專案或其他政府單位計畫。</w:t>
      </w:r>
    </w:p>
    <w:p w:rsidR="00A664F7" w:rsidRPr="00A664F7" w:rsidRDefault="00A664F7" w:rsidP="00A664F7">
      <w:pPr>
        <w:suppressAutoHyphens/>
        <w:autoSpaceDN w:val="0"/>
        <w:spacing w:line="360" w:lineRule="exact"/>
        <w:ind w:leftChars="591" w:left="1699" w:hangingChars="117" w:hanging="281"/>
        <w:jc w:val="both"/>
        <w:textAlignment w:val="baseline"/>
        <w:rPr>
          <w:rFonts w:eastAsia="標楷體"/>
          <w:kern w:val="3"/>
          <w:szCs w:val="28"/>
          <w:lang w:eastAsia="zh-HK"/>
        </w:rPr>
      </w:pPr>
      <w:r w:rsidRPr="00A664F7">
        <w:rPr>
          <w:rFonts w:eastAsia="標楷體"/>
          <w:kern w:val="3"/>
          <w:szCs w:val="28"/>
          <w:lang w:eastAsia="zh-HK"/>
        </w:rPr>
        <w:t xml:space="preserve">3. </w:t>
      </w:r>
      <w:r w:rsidRPr="00A664F7">
        <w:rPr>
          <w:rFonts w:eastAsia="標楷體"/>
          <w:kern w:val="3"/>
          <w:szCs w:val="28"/>
          <w:lang w:eastAsia="zh-HK"/>
        </w:rPr>
        <w:t>獲第</w:t>
      </w:r>
      <w:r w:rsidRPr="00A664F7">
        <w:rPr>
          <w:rFonts w:eastAsia="標楷體"/>
          <w:kern w:val="3"/>
          <w:szCs w:val="28"/>
          <w:lang w:eastAsia="zh-HK"/>
        </w:rPr>
        <w:t>3</w:t>
      </w:r>
      <w:r w:rsidRPr="00A664F7">
        <w:rPr>
          <w:rFonts w:eastAsia="標楷體"/>
          <w:kern w:val="3"/>
          <w:szCs w:val="28"/>
          <w:lang w:eastAsia="zh-HK"/>
        </w:rPr>
        <w:t>級獎助之獲獎者，需於當年度檢附</w:t>
      </w:r>
      <w:r w:rsidRPr="00A664F7">
        <w:rPr>
          <w:rFonts w:eastAsia="標楷體"/>
          <w:kern w:val="3"/>
          <w:szCs w:val="28"/>
          <w:lang w:eastAsia="zh-HK"/>
        </w:rPr>
        <w:t>”</w:t>
      </w:r>
      <w:r w:rsidRPr="00A664F7">
        <w:rPr>
          <w:rFonts w:eastAsia="標楷體"/>
          <w:kern w:val="3"/>
          <w:szCs w:val="28"/>
          <w:lang w:eastAsia="zh-HK"/>
        </w:rPr>
        <w:t>發表接受</w:t>
      </w:r>
      <w:r w:rsidRPr="00A664F7">
        <w:rPr>
          <w:rFonts w:eastAsia="標楷體"/>
          <w:kern w:val="3"/>
          <w:szCs w:val="28"/>
          <w:lang w:eastAsia="zh-HK"/>
        </w:rPr>
        <w:t>”(</w:t>
      </w:r>
      <w:r w:rsidRPr="00A664F7">
        <w:rPr>
          <w:rFonts w:eastAsia="標楷體"/>
          <w:kern w:val="3"/>
          <w:szCs w:val="28"/>
          <w:lang w:eastAsia="zh-HK"/>
        </w:rPr>
        <w:t>或專利、技轉</w:t>
      </w:r>
      <w:r w:rsidRPr="00A664F7">
        <w:rPr>
          <w:rFonts w:eastAsia="標楷體"/>
          <w:kern w:val="3"/>
          <w:szCs w:val="28"/>
          <w:lang w:eastAsia="zh-HK"/>
        </w:rPr>
        <w:t>)</w:t>
      </w:r>
      <w:r w:rsidRPr="00A664F7">
        <w:rPr>
          <w:rFonts w:eastAsia="標楷體"/>
          <w:kern w:val="3"/>
          <w:szCs w:val="28"/>
          <w:lang w:eastAsia="zh-HK"/>
        </w:rPr>
        <w:t>證明至少</w:t>
      </w:r>
      <w:r w:rsidRPr="00A664F7">
        <w:rPr>
          <w:rFonts w:eastAsia="標楷體"/>
          <w:kern w:val="3"/>
          <w:szCs w:val="28"/>
          <w:lang w:eastAsia="zh-HK"/>
        </w:rPr>
        <w:t>1</w:t>
      </w:r>
      <w:r w:rsidRPr="00A664F7">
        <w:rPr>
          <w:rFonts w:eastAsia="標楷體"/>
          <w:kern w:val="3"/>
          <w:szCs w:val="28"/>
          <w:lang w:eastAsia="zh-HK"/>
        </w:rPr>
        <w:t>篇</w:t>
      </w:r>
      <w:r w:rsidRPr="00A664F7">
        <w:rPr>
          <w:rFonts w:eastAsia="標楷體"/>
          <w:kern w:val="3"/>
          <w:szCs w:val="28"/>
          <w:lang w:eastAsia="zh-HK"/>
        </w:rPr>
        <w:t>(</w:t>
      </w:r>
      <w:r w:rsidRPr="00A664F7">
        <w:rPr>
          <w:rFonts w:eastAsia="標楷體"/>
          <w:kern w:val="3"/>
          <w:szCs w:val="28"/>
          <w:lang w:eastAsia="zh-HK"/>
        </w:rPr>
        <w:t>件</w:t>
      </w:r>
      <w:r w:rsidRPr="00A664F7">
        <w:rPr>
          <w:rFonts w:eastAsia="標楷體"/>
          <w:kern w:val="3"/>
          <w:szCs w:val="28"/>
          <w:lang w:eastAsia="zh-HK"/>
        </w:rPr>
        <w:t>)</w:t>
      </w:r>
      <w:r w:rsidRPr="00A664F7">
        <w:rPr>
          <w:rFonts w:eastAsia="標楷體"/>
          <w:kern w:val="3"/>
          <w:szCs w:val="28"/>
          <w:lang w:eastAsia="zh-HK"/>
        </w:rPr>
        <w:t>，並承接至少</w:t>
      </w:r>
      <w:r w:rsidRPr="00A664F7">
        <w:rPr>
          <w:rFonts w:eastAsia="標楷體"/>
          <w:kern w:val="3"/>
          <w:szCs w:val="28"/>
          <w:lang w:eastAsia="zh-HK"/>
        </w:rPr>
        <w:t>1</w:t>
      </w:r>
      <w:r w:rsidRPr="00A664F7">
        <w:rPr>
          <w:rFonts w:eastAsia="標楷體"/>
          <w:kern w:val="3"/>
          <w:szCs w:val="28"/>
          <w:lang w:eastAsia="zh-HK"/>
        </w:rPr>
        <w:t>件以上</w:t>
      </w:r>
      <w:r w:rsidR="00DD31F5">
        <w:rPr>
          <w:rFonts w:eastAsia="標楷體"/>
          <w:kern w:val="3"/>
          <w:szCs w:val="28"/>
          <w:lang w:eastAsia="zh-HK"/>
        </w:rPr>
        <w:t>國科會</w:t>
      </w:r>
      <w:r w:rsidRPr="00A664F7">
        <w:rPr>
          <w:rFonts w:eastAsia="標楷體"/>
          <w:kern w:val="3"/>
          <w:szCs w:val="28"/>
          <w:lang w:eastAsia="zh-HK"/>
        </w:rPr>
        <w:t>專題研究、產學合作研究專案或其他政府單位計畫。</w:t>
      </w:r>
    </w:p>
    <w:p w:rsidR="00A664F7" w:rsidRPr="00A664F7" w:rsidRDefault="00A664F7" w:rsidP="00A664F7">
      <w:pPr>
        <w:suppressAutoHyphens/>
        <w:autoSpaceDN w:val="0"/>
        <w:spacing w:line="360" w:lineRule="exact"/>
        <w:ind w:leftChars="591" w:left="1699" w:hangingChars="117" w:hanging="281"/>
        <w:jc w:val="both"/>
        <w:textAlignment w:val="baseline"/>
        <w:rPr>
          <w:rFonts w:eastAsia="標楷體"/>
          <w:kern w:val="3"/>
          <w:szCs w:val="28"/>
          <w:lang w:eastAsia="zh-HK"/>
        </w:rPr>
      </w:pPr>
      <w:r w:rsidRPr="00A664F7">
        <w:rPr>
          <w:rFonts w:eastAsia="標楷體"/>
          <w:kern w:val="3"/>
          <w:szCs w:val="28"/>
          <w:lang w:eastAsia="zh-HK"/>
        </w:rPr>
        <w:t xml:space="preserve">4. </w:t>
      </w:r>
      <w:r w:rsidRPr="00A664F7">
        <w:rPr>
          <w:rFonts w:eastAsia="標楷體"/>
          <w:kern w:val="3"/>
          <w:szCs w:val="28"/>
          <w:lang w:eastAsia="zh-HK"/>
        </w:rPr>
        <w:t>獲第</w:t>
      </w:r>
      <w:r w:rsidRPr="00A664F7">
        <w:rPr>
          <w:rFonts w:eastAsia="標楷體"/>
          <w:kern w:val="3"/>
          <w:szCs w:val="28"/>
          <w:lang w:eastAsia="zh-HK"/>
        </w:rPr>
        <w:t>1</w:t>
      </w:r>
      <w:r w:rsidRPr="00A664F7">
        <w:rPr>
          <w:rFonts w:eastAsia="標楷體"/>
          <w:kern w:val="3"/>
          <w:szCs w:val="28"/>
          <w:lang w:eastAsia="zh-HK"/>
        </w:rPr>
        <w:t>或</w:t>
      </w:r>
      <w:r w:rsidRPr="00A664F7">
        <w:rPr>
          <w:rFonts w:eastAsia="標楷體"/>
          <w:kern w:val="3"/>
          <w:szCs w:val="28"/>
          <w:lang w:eastAsia="zh-HK"/>
        </w:rPr>
        <w:t>2</w:t>
      </w:r>
      <w:r w:rsidRPr="00A664F7">
        <w:rPr>
          <w:rFonts w:eastAsia="標楷體"/>
          <w:kern w:val="3"/>
          <w:szCs w:val="28"/>
          <w:lang w:eastAsia="zh-HK"/>
        </w:rPr>
        <w:t>或</w:t>
      </w:r>
      <w:r w:rsidRPr="00A664F7">
        <w:rPr>
          <w:rFonts w:eastAsia="標楷體"/>
          <w:kern w:val="3"/>
          <w:szCs w:val="28"/>
          <w:lang w:eastAsia="zh-HK"/>
        </w:rPr>
        <w:t>3</w:t>
      </w:r>
      <w:r w:rsidRPr="00A664F7">
        <w:rPr>
          <w:rFonts w:eastAsia="標楷體"/>
          <w:kern w:val="3"/>
          <w:szCs w:val="28"/>
          <w:lang w:eastAsia="zh-HK"/>
        </w:rPr>
        <w:t>級獎助獲獎者，須於當年獎勵期間分期中與期末繳交執行績效報告，送交研發委員會審議，期末績效評量需於結束一個月前繳交，以作為下年度補助級數之考評依據。</w:t>
      </w:r>
    </w:p>
    <w:p w:rsidR="00206749" w:rsidRDefault="00F02337" w:rsidP="00206749">
      <w:pPr>
        <w:numPr>
          <w:ilvl w:val="5"/>
          <w:numId w:val="7"/>
        </w:numPr>
        <w:spacing w:line="360" w:lineRule="exact"/>
        <w:jc w:val="both"/>
        <w:rPr>
          <w:rFonts w:eastAsia="標楷體"/>
          <w:color w:val="767171"/>
          <w:szCs w:val="28"/>
        </w:rPr>
      </w:pPr>
      <w:r w:rsidRPr="00F02337">
        <w:rPr>
          <w:rFonts w:eastAsia="標楷體" w:hint="eastAsia"/>
          <w:szCs w:val="28"/>
        </w:rPr>
        <w:t>國際研究人才情勢分析</w:t>
      </w:r>
      <w:r w:rsidR="00206749" w:rsidRPr="00F42DE3">
        <w:rPr>
          <w:rFonts w:eastAsia="標楷體" w:hint="eastAsia"/>
          <w:color w:val="767171"/>
          <w:szCs w:val="28"/>
        </w:rPr>
        <w:t>（含各領域國際研究人才競爭情形及申請機構留住及延攬研究人才策略）。</w:t>
      </w:r>
    </w:p>
    <w:p w:rsidR="00615DD7" w:rsidRPr="001210C8" w:rsidRDefault="00615DD7" w:rsidP="00615DD7">
      <w:pPr>
        <w:numPr>
          <w:ilvl w:val="6"/>
          <w:numId w:val="7"/>
        </w:numPr>
        <w:tabs>
          <w:tab w:val="num" w:pos="993"/>
        </w:tabs>
        <w:suppressAutoHyphens/>
        <w:autoSpaceDN w:val="0"/>
        <w:spacing w:line="360" w:lineRule="exact"/>
        <w:ind w:left="993" w:hanging="230"/>
        <w:jc w:val="both"/>
        <w:textAlignment w:val="baseline"/>
        <w:rPr>
          <w:rFonts w:eastAsia="標楷體"/>
          <w:b/>
          <w:kern w:val="3"/>
          <w:szCs w:val="28"/>
          <w:lang w:eastAsia="zh-HK"/>
        </w:rPr>
      </w:pPr>
      <w:r w:rsidRPr="001210C8">
        <w:rPr>
          <w:rFonts w:eastAsia="標楷體" w:hint="eastAsia"/>
          <w:b/>
          <w:kern w:val="3"/>
          <w:szCs w:val="28"/>
          <w:lang w:eastAsia="zh-HK"/>
        </w:rPr>
        <w:t>11</w:t>
      </w:r>
      <w:r w:rsidR="00753032">
        <w:rPr>
          <w:rFonts w:eastAsia="標楷體"/>
          <w:b/>
          <w:kern w:val="3"/>
          <w:szCs w:val="28"/>
        </w:rPr>
        <w:t>4</w:t>
      </w:r>
      <w:r w:rsidRPr="001210C8">
        <w:rPr>
          <w:rFonts w:eastAsia="標楷體" w:hint="eastAsia"/>
          <w:b/>
          <w:kern w:val="3"/>
          <w:szCs w:val="28"/>
          <w:lang w:eastAsia="zh-HK"/>
        </w:rPr>
        <w:t>年度規劃發展重點領域</w:t>
      </w:r>
      <w:r w:rsidRPr="001210C8">
        <w:rPr>
          <w:rFonts w:eastAsia="標楷體" w:hint="eastAsia"/>
          <w:b/>
          <w:kern w:val="3"/>
          <w:szCs w:val="28"/>
        </w:rPr>
        <w:t>或特色</w:t>
      </w:r>
      <w:r w:rsidRPr="001210C8">
        <w:rPr>
          <w:rFonts w:eastAsia="標楷體" w:hint="eastAsia"/>
          <w:b/>
          <w:kern w:val="3"/>
          <w:szCs w:val="28"/>
          <w:lang w:eastAsia="zh-HK"/>
        </w:rPr>
        <w:t>之</w:t>
      </w:r>
      <w:r w:rsidRPr="001210C8">
        <w:rPr>
          <w:rFonts w:eastAsia="標楷體" w:hint="eastAsia"/>
          <w:b/>
          <w:kern w:val="3"/>
          <w:szCs w:val="28"/>
          <w:u w:val="single"/>
          <w:lang w:eastAsia="zh-HK"/>
        </w:rPr>
        <w:t>國際研究人才競爭現況</w:t>
      </w:r>
      <w:r w:rsidRPr="001210C8">
        <w:rPr>
          <w:rFonts w:eastAsia="標楷體" w:hint="eastAsia"/>
          <w:b/>
          <w:kern w:val="3"/>
          <w:szCs w:val="28"/>
          <w:lang w:eastAsia="zh-HK"/>
        </w:rPr>
        <w:t xml:space="preserve"> (</w:t>
      </w:r>
      <w:r w:rsidRPr="001210C8">
        <w:rPr>
          <w:rFonts w:eastAsia="標楷體" w:hint="eastAsia"/>
          <w:b/>
          <w:kern w:val="3"/>
          <w:szCs w:val="28"/>
          <w:lang w:eastAsia="zh-HK"/>
        </w:rPr>
        <w:t>例如：醫學、農業、生物、人文、藝術、社會科學、商業、管理、理、工、電機、資訊、其他等</w:t>
      </w:r>
      <w:r w:rsidRPr="001210C8">
        <w:rPr>
          <w:rFonts w:eastAsia="標楷體" w:hint="eastAsia"/>
          <w:b/>
          <w:kern w:val="3"/>
          <w:szCs w:val="28"/>
          <w:lang w:eastAsia="zh-HK"/>
        </w:rPr>
        <w:t>)</w:t>
      </w:r>
    </w:p>
    <w:p w:rsidR="00615DD7" w:rsidRPr="00753032" w:rsidRDefault="00615DD7" w:rsidP="00615DD7">
      <w:pPr>
        <w:spacing w:line="360" w:lineRule="exact"/>
        <w:ind w:left="763" w:firstLineChars="213" w:firstLine="511"/>
        <w:jc w:val="both"/>
        <w:rPr>
          <w:rFonts w:eastAsia="標楷體"/>
          <w:kern w:val="3"/>
          <w:szCs w:val="28"/>
          <w:highlight w:val="yellow"/>
          <w:lang w:eastAsia="zh-HK"/>
        </w:rPr>
      </w:pPr>
      <w:r w:rsidRPr="00753032">
        <w:rPr>
          <w:rFonts w:eastAsia="標楷體" w:hint="eastAsia"/>
          <w:kern w:val="3"/>
          <w:szCs w:val="28"/>
          <w:highlight w:val="yellow"/>
          <w:lang w:eastAsia="zh-HK"/>
        </w:rPr>
        <w:t>政府在發展</w:t>
      </w:r>
      <w:r w:rsidRPr="00753032">
        <w:rPr>
          <w:rFonts w:ascii="新細明體" w:hAnsi="新細明體" w:hint="eastAsia"/>
          <w:kern w:val="3"/>
          <w:szCs w:val="28"/>
          <w:highlight w:val="yellow"/>
          <w:lang w:eastAsia="zh-HK"/>
        </w:rPr>
        <w:t>、</w:t>
      </w:r>
      <w:r w:rsidRPr="00753032">
        <w:rPr>
          <w:rFonts w:eastAsia="標楷體" w:hint="eastAsia"/>
          <w:kern w:val="3"/>
          <w:szCs w:val="28"/>
          <w:highlight w:val="yellow"/>
          <w:lang w:eastAsia="zh-HK"/>
        </w:rPr>
        <w:t>吸引與留住人才</w:t>
      </w:r>
      <w:r w:rsidRPr="00753032">
        <w:rPr>
          <w:rFonts w:ascii="新細明體" w:hAnsi="新細明體" w:hint="eastAsia"/>
          <w:kern w:val="3"/>
          <w:szCs w:val="28"/>
          <w:highlight w:val="yellow"/>
          <w:lang w:eastAsia="zh-HK"/>
        </w:rPr>
        <w:t>、</w:t>
      </w:r>
      <w:r w:rsidRPr="00753032">
        <w:rPr>
          <w:rFonts w:eastAsia="標楷體" w:hint="eastAsia"/>
          <w:kern w:val="3"/>
          <w:szCs w:val="28"/>
          <w:highlight w:val="yellow"/>
          <w:lang w:eastAsia="zh-HK"/>
        </w:rPr>
        <w:t>與人才準備度方面投注了相當多的心力，依</w:t>
      </w:r>
      <w:r w:rsidRPr="00753032">
        <w:rPr>
          <w:rFonts w:eastAsia="標楷體" w:hint="eastAsia"/>
          <w:kern w:val="3"/>
          <w:szCs w:val="28"/>
          <w:highlight w:val="yellow"/>
          <w:lang w:eastAsia="zh-HK"/>
        </w:rPr>
        <w:t>2021</w:t>
      </w:r>
      <w:r w:rsidRPr="00753032">
        <w:rPr>
          <w:rFonts w:eastAsia="標楷體" w:hint="eastAsia"/>
          <w:kern w:val="3"/>
          <w:szCs w:val="28"/>
          <w:highlight w:val="yellow"/>
          <w:lang w:eastAsia="zh-HK"/>
        </w:rPr>
        <w:t>年瑞士洛桑管理學院所發佈之</w:t>
      </w:r>
      <w:r w:rsidRPr="00753032">
        <w:rPr>
          <w:rFonts w:ascii="新細明體" w:hAnsi="新細明體" w:hint="eastAsia"/>
          <w:kern w:val="3"/>
          <w:szCs w:val="28"/>
          <w:highlight w:val="yellow"/>
          <w:lang w:eastAsia="zh-HK"/>
        </w:rPr>
        <w:t>「</w:t>
      </w:r>
      <w:r w:rsidRPr="00753032">
        <w:rPr>
          <w:rFonts w:eastAsia="標楷體" w:hint="eastAsia"/>
          <w:kern w:val="3"/>
          <w:szCs w:val="28"/>
          <w:highlight w:val="yellow"/>
          <w:lang w:eastAsia="zh-HK"/>
        </w:rPr>
        <w:t>IMD</w:t>
      </w:r>
      <w:r w:rsidRPr="00753032">
        <w:rPr>
          <w:rFonts w:eastAsia="標楷體" w:hint="eastAsia"/>
          <w:kern w:val="3"/>
          <w:szCs w:val="28"/>
          <w:highlight w:val="yellow"/>
          <w:lang w:eastAsia="zh-HK"/>
        </w:rPr>
        <w:t>世界人才排名報告</w:t>
      </w:r>
      <w:r w:rsidRPr="00753032">
        <w:rPr>
          <w:rFonts w:ascii="標楷體" w:eastAsia="標楷體" w:hAnsi="標楷體" w:hint="eastAsia"/>
          <w:kern w:val="3"/>
          <w:szCs w:val="28"/>
          <w:highlight w:val="yellow"/>
          <w:lang w:eastAsia="zh-HK"/>
        </w:rPr>
        <w:t>」</w:t>
      </w:r>
      <w:r w:rsidRPr="00753032">
        <w:rPr>
          <w:rFonts w:eastAsia="標楷體" w:hint="eastAsia"/>
          <w:kern w:val="3"/>
          <w:szCs w:val="28"/>
          <w:highlight w:val="yellow"/>
          <w:lang w:eastAsia="zh-HK"/>
        </w:rPr>
        <w:t>，全世界的排名台灣位居第十六名，以在人才準備度方面進步最多，大學高等教育因應經濟競爭經濟之需求培育人才，通過知識產生、人才培育、及各項科技基礎建設的發展，有助於推升國家的競爭力，</w:t>
      </w:r>
      <w:r w:rsidRPr="00753032">
        <w:rPr>
          <w:rFonts w:eastAsia="標楷體" w:hint="eastAsia"/>
          <w:kern w:val="3"/>
          <w:szCs w:val="28"/>
          <w:highlight w:val="yellow"/>
          <w:lang w:eastAsia="zh-HK"/>
        </w:rPr>
        <w:t>2020</w:t>
      </w:r>
      <w:r w:rsidRPr="00753032">
        <w:rPr>
          <w:rFonts w:eastAsia="標楷體" w:hint="eastAsia"/>
          <w:kern w:val="3"/>
          <w:szCs w:val="28"/>
          <w:highlight w:val="yellow"/>
          <w:lang w:eastAsia="zh-HK"/>
        </w:rPr>
        <w:t>年新冠肺炎疫情爆發，為各國政府帶來健康與經濟動盪等挑戰，能成功應對健康與經濟危機的挑戰之重要關鍵是國家科技的基礎建設，及具備探索與適應新科技能力，以改造所有服務流程與互動方式的人才</w:t>
      </w:r>
      <w:r w:rsidRPr="00753032">
        <w:rPr>
          <w:rFonts w:eastAsia="標楷體" w:hint="eastAsia"/>
          <w:kern w:val="3"/>
          <w:szCs w:val="28"/>
          <w:highlight w:val="yellow"/>
        </w:rPr>
        <w:t>。</w:t>
      </w:r>
      <w:r w:rsidRPr="00753032">
        <w:rPr>
          <w:rFonts w:eastAsia="標楷體" w:hint="eastAsia"/>
          <w:kern w:val="3"/>
          <w:szCs w:val="28"/>
          <w:highlight w:val="yellow"/>
          <w:lang w:eastAsia="zh-HK"/>
        </w:rPr>
        <w:t>知識的培育至為重要，透過持續強化人才的培育，提升個人對於數位科技的適應性與靈活性，是能加速國家數位轉型的重要關鍵，然而，教育支出總額占</w:t>
      </w:r>
      <w:r w:rsidRPr="00753032">
        <w:rPr>
          <w:rFonts w:eastAsia="標楷體" w:hint="eastAsia"/>
          <w:kern w:val="3"/>
          <w:szCs w:val="28"/>
          <w:highlight w:val="yellow"/>
          <w:lang w:eastAsia="zh-HK"/>
        </w:rPr>
        <w:t>GDP</w:t>
      </w:r>
      <w:r w:rsidRPr="00753032">
        <w:rPr>
          <w:rFonts w:eastAsia="標楷體" w:hint="eastAsia"/>
          <w:kern w:val="3"/>
          <w:szCs w:val="28"/>
          <w:highlight w:val="yellow"/>
          <w:lang w:eastAsia="zh-HK"/>
        </w:rPr>
        <w:t>比率</w:t>
      </w:r>
      <w:r w:rsidRPr="00753032">
        <w:rPr>
          <w:rFonts w:eastAsia="標楷體" w:hint="eastAsia"/>
          <w:kern w:val="3"/>
          <w:szCs w:val="28"/>
          <w:highlight w:val="yellow"/>
        </w:rPr>
        <w:t>(</w:t>
      </w:r>
      <w:r w:rsidRPr="00753032">
        <w:rPr>
          <w:rFonts w:eastAsia="標楷體" w:hint="eastAsia"/>
          <w:kern w:val="3"/>
          <w:szCs w:val="28"/>
          <w:highlight w:val="yellow"/>
        </w:rPr>
        <w:t>全世界第</w:t>
      </w:r>
      <w:r w:rsidRPr="00753032">
        <w:rPr>
          <w:rFonts w:eastAsia="標楷體" w:hint="eastAsia"/>
          <w:kern w:val="3"/>
          <w:szCs w:val="28"/>
          <w:highlight w:val="yellow"/>
        </w:rPr>
        <w:t>51</w:t>
      </w:r>
      <w:r w:rsidRPr="00753032">
        <w:rPr>
          <w:rFonts w:eastAsia="標楷體" w:hint="eastAsia"/>
          <w:kern w:val="3"/>
          <w:szCs w:val="28"/>
          <w:highlight w:val="yellow"/>
        </w:rPr>
        <w:t>名</w:t>
      </w:r>
      <w:r w:rsidRPr="00753032">
        <w:rPr>
          <w:rFonts w:eastAsia="標楷體" w:hint="eastAsia"/>
          <w:kern w:val="3"/>
          <w:szCs w:val="28"/>
          <w:highlight w:val="yellow"/>
        </w:rPr>
        <w:t>)</w:t>
      </w:r>
      <w:r w:rsidRPr="00753032">
        <w:rPr>
          <w:rFonts w:eastAsia="標楷體" w:hint="eastAsia"/>
          <w:kern w:val="3"/>
          <w:szCs w:val="28"/>
          <w:highlight w:val="yellow"/>
          <w:lang w:eastAsia="zh-HK"/>
        </w:rPr>
        <w:t>、高等教育生師比</w:t>
      </w:r>
      <w:r w:rsidRPr="00753032">
        <w:rPr>
          <w:rFonts w:eastAsia="標楷體" w:hint="eastAsia"/>
          <w:kern w:val="3"/>
          <w:szCs w:val="28"/>
          <w:highlight w:val="yellow"/>
          <w:lang w:eastAsia="zh-HK"/>
        </w:rPr>
        <w:t>(</w:t>
      </w:r>
      <w:r w:rsidRPr="00753032">
        <w:rPr>
          <w:rFonts w:eastAsia="標楷體" w:hint="eastAsia"/>
          <w:kern w:val="3"/>
          <w:szCs w:val="28"/>
          <w:highlight w:val="yellow"/>
          <w:lang w:eastAsia="zh-HK"/>
        </w:rPr>
        <w:t>全世界第</w:t>
      </w:r>
      <w:r w:rsidRPr="00753032">
        <w:rPr>
          <w:rFonts w:eastAsia="標楷體" w:hint="eastAsia"/>
          <w:kern w:val="3"/>
          <w:szCs w:val="28"/>
          <w:highlight w:val="yellow"/>
          <w:lang w:eastAsia="zh-HK"/>
        </w:rPr>
        <w:t>5</w:t>
      </w:r>
      <w:r w:rsidRPr="00753032">
        <w:rPr>
          <w:rFonts w:eastAsia="標楷體" w:hint="eastAsia"/>
          <w:kern w:val="3"/>
          <w:szCs w:val="28"/>
          <w:highlight w:val="yellow"/>
        </w:rPr>
        <w:t>3</w:t>
      </w:r>
      <w:r w:rsidRPr="00753032">
        <w:rPr>
          <w:rFonts w:eastAsia="標楷體" w:hint="eastAsia"/>
          <w:kern w:val="3"/>
          <w:szCs w:val="28"/>
          <w:highlight w:val="yellow"/>
          <w:lang w:eastAsia="zh-HK"/>
        </w:rPr>
        <w:t>名</w:t>
      </w:r>
      <w:r w:rsidRPr="00753032">
        <w:rPr>
          <w:rFonts w:eastAsia="標楷體" w:hint="eastAsia"/>
          <w:kern w:val="3"/>
          <w:szCs w:val="28"/>
          <w:highlight w:val="yellow"/>
          <w:lang w:eastAsia="zh-HK"/>
        </w:rPr>
        <w:t>)</w:t>
      </w:r>
      <w:r w:rsidRPr="00753032">
        <w:rPr>
          <w:rFonts w:eastAsia="標楷體" w:hint="eastAsia"/>
          <w:kern w:val="3"/>
          <w:szCs w:val="28"/>
          <w:highlight w:val="yellow"/>
          <w:lang w:eastAsia="zh-HK"/>
        </w:rPr>
        <w:t>、科學技術人才雇用比</w:t>
      </w:r>
      <w:r w:rsidRPr="00753032">
        <w:rPr>
          <w:rFonts w:eastAsia="標楷體" w:hint="eastAsia"/>
          <w:kern w:val="3"/>
          <w:szCs w:val="28"/>
          <w:highlight w:val="yellow"/>
          <w:lang w:eastAsia="zh-HK"/>
        </w:rPr>
        <w:t>(</w:t>
      </w:r>
      <w:r w:rsidRPr="00753032">
        <w:rPr>
          <w:rFonts w:eastAsia="標楷體" w:hint="eastAsia"/>
          <w:kern w:val="3"/>
          <w:szCs w:val="28"/>
          <w:highlight w:val="yellow"/>
          <w:lang w:eastAsia="zh-HK"/>
        </w:rPr>
        <w:t>全世界第</w:t>
      </w:r>
      <w:r w:rsidRPr="00753032">
        <w:rPr>
          <w:rFonts w:eastAsia="標楷體" w:hint="eastAsia"/>
          <w:kern w:val="3"/>
          <w:szCs w:val="28"/>
          <w:highlight w:val="yellow"/>
        </w:rPr>
        <w:t>44</w:t>
      </w:r>
      <w:r w:rsidRPr="00753032">
        <w:rPr>
          <w:rFonts w:eastAsia="標楷體" w:hint="eastAsia"/>
          <w:kern w:val="3"/>
          <w:szCs w:val="28"/>
          <w:highlight w:val="yellow"/>
          <w:lang w:eastAsia="zh-HK"/>
        </w:rPr>
        <w:t>名</w:t>
      </w:r>
      <w:r w:rsidRPr="00753032">
        <w:rPr>
          <w:rFonts w:eastAsia="標楷體" w:hint="eastAsia"/>
          <w:kern w:val="3"/>
          <w:szCs w:val="28"/>
          <w:highlight w:val="yellow"/>
          <w:lang w:eastAsia="zh-HK"/>
        </w:rPr>
        <w:t>)</w:t>
      </w:r>
      <w:r w:rsidRPr="00753032">
        <w:rPr>
          <w:rFonts w:eastAsia="標楷體" w:hint="eastAsia"/>
          <w:kern w:val="3"/>
          <w:szCs w:val="28"/>
          <w:highlight w:val="yellow"/>
          <w:lang w:eastAsia="zh-HK"/>
        </w:rPr>
        <w:t>等，顯示台灣在相關指標表現相對弱勢，顯示教育投資略顯不足，且延攬國外高階人才不易，應持續強化育才、留才、攬才之環境才能進一步提升競爭力。</w:t>
      </w:r>
      <w:r w:rsidR="003A668F" w:rsidRPr="00753032">
        <w:rPr>
          <w:rFonts w:eastAsia="標楷體" w:hint="eastAsia"/>
          <w:kern w:val="3"/>
          <w:szCs w:val="28"/>
          <w:highlight w:val="yellow"/>
          <w:lang w:eastAsia="zh-HK"/>
        </w:rPr>
        <w:t>培育跨領域醫事相關人員，透過不同領域人才經驗相互學習，提升醫護專業在各領域間</w:t>
      </w:r>
    </w:p>
    <w:p w:rsidR="00D3182F" w:rsidRPr="00753032" w:rsidRDefault="00D3182F" w:rsidP="00615DD7">
      <w:pPr>
        <w:spacing w:line="360" w:lineRule="exact"/>
        <w:ind w:left="763" w:firstLineChars="213" w:firstLine="511"/>
        <w:jc w:val="both"/>
        <w:rPr>
          <w:rFonts w:eastAsia="標楷體"/>
          <w:kern w:val="3"/>
          <w:szCs w:val="28"/>
          <w:highlight w:val="yellow"/>
        </w:rPr>
      </w:pPr>
      <w:r w:rsidRPr="00753032">
        <w:rPr>
          <w:rFonts w:eastAsia="標楷體" w:hint="eastAsia"/>
          <w:kern w:val="3"/>
          <w:szCs w:val="28"/>
          <w:highlight w:val="yellow"/>
        </w:rPr>
        <w:t>2023</w:t>
      </w:r>
      <w:r w:rsidRPr="00753032">
        <w:rPr>
          <w:rFonts w:eastAsia="標楷體" w:hint="eastAsia"/>
          <w:kern w:val="3"/>
          <w:szCs w:val="28"/>
          <w:highlight w:val="yellow"/>
        </w:rPr>
        <w:t>年逐步進入後</w:t>
      </w:r>
      <w:proofErr w:type="gramStart"/>
      <w:r w:rsidRPr="00753032">
        <w:rPr>
          <w:rFonts w:eastAsia="標楷體" w:hint="eastAsia"/>
          <w:kern w:val="3"/>
          <w:szCs w:val="28"/>
          <w:highlight w:val="yellow"/>
        </w:rPr>
        <w:t>疫</w:t>
      </w:r>
      <w:proofErr w:type="gramEnd"/>
      <w:r w:rsidRPr="00753032">
        <w:rPr>
          <w:rFonts w:eastAsia="標楷體" w:hint="eastAsia"/>
          <w:kern w:val="3"/>
          <w:szCs w:val="28"/>
          <w:highlight w:val="yellow"/>
        </w:rPr>
        <w:t>情時代，各國交流逐漸恢復，</w:t>
      </w:r>
      <w:r w:rsidR="007139B3" w:rsidRPr="00753032">
        <w:rPr>
          <w:rFonts w:eastAsia="標楷體" w:hint="eastAsia"/>
          <w:kern w:val="3"/>
          <w:szCs w:val="28"/>
          <w:highlight w:val="yellow"/>
        </w:rPr>
        <w:t>隨著全球化和數位化趨勢，國際研究人才競爭越趨激烈，許多國家都推出各種措施留住研究人才，例如：美國許多頂尖大學與研究機構為了留住研究人才提供各項資助和獎金，也延攬國際人才簡化簽證和綠卡申請程序；</w:t>
      </w:r>
      <w:r w:rsidR="00B31274" w:rsidRPr="00753032">
        <w:rPr>
          <w:rFonts w:eastAsia="標楷體" w:hint="eastAsia"/>
          <w:kern w:val="3"/>
          <w:szCs w:val="28"/>
          <w:highlight w:val="yellow"/>
        </w:rPr>
        <w:t>而例如日本政府鼓勵建立產學合作網絡，提供研究人員與企業合作之機會等都可吸引國際研究人才並提升國籍競爭力。</w:t>
      </w:r>
    </w:p>
    <w:p w:rsidR="00005764" w:rsidRPr="00753032" w:rsidRDefault="00005764" w:rsidP="00615DD7">
      <w:pPr>
        <w:spacing w:line="360" w:lineRule="exact"/>
        <w:ind w:left="763" w:firstLineChars="213" w:firstLine="511"/>
        <w:jc w:val="both"/>
        <w:rPr>
          <w:rFonts w:eastAsia="標楷體"/>
          <w:kern w:val="3"/>
          <w:szCs w:val="28"/>
          <w:highlight w:val="yellow"/>
          <w:lang w:eastAsia="zh-HK"/>
        </w:rPr>
      </w:pPr>
      <w:r w:rsidRPr="00753032">
        <w:rPr>
          <w:rFonts w:eastAsia="標楷體" w:hint="eastAsia"/>
          <w:kern w:val="3"/>
          <w:szCs w:val="28"/>
          <w:highlight w:val="yellow"/>
        </w:rPr>
        <w:t>針對環境工程領域，近年來台灣因應</w:t>
      </w:r>
      <w:proofErr w:type="gramStart"/>
      <w:r w:rsidRPr="00753032">
        <w:rPr>
          <w:rFonts w:eastAsia="標楷體" w:hint="eastAsia"/>
          <w:kern w:val="3"/>
          <w:szCs w:val="28"/>
          <w:highlight w:val="yellow"/>
        </w:rPr>
        <w:t>淨零碳排</w:t>
      </w:r>
      <w:proofErr w:type="gramEnd"/>
      <w:r w:rsidRPr="00753032">
        <w:rPr>
          <w:rFonts w:eastAsia="標楷體" w:hint="eastAsia"/>
          <w:kern w:val="3"/>
          <w:szCs w:val="28"/>
          <w:highlight w:val="yellow"/>
        </w:rPr>
        <w:t>之國際發展趨勢，相關污染防制技</w:t>
      </w:r>
      <w:r w:rsidRPr="00753032">
        <w:rPr>
          <w:rFonts w:eastAsia="標楷體" w:hint="eastAsia"/>
          <w:kern w:val="3"/>
          <w:szCs w:val="28"/>
          <w:highlight w:val="yellow"/>
        </w:rPr>
        <w:lastRenderedPageBreak/>
        <w:t>術之需求更受重視，各項技術將逐漸朝向低耗能、低</w:t>
      </w:r>
      <w:proofErr w:type="gramStart"/>
      <w:r w:rsidRPr="00753032">
        <w:rPr>
          <w:rFonts w:eastAsia="標楷體" w:hint="eastAsia"/>
          <w:kern w:val="3"/>
          <w:szCs w:val="28"/>
          <w:highlight w:val="yellow"/>
        </w:rPr>
        <w:t>碳永續</w:t>
      </w:r>
      <w:proofErr w:type="gramEnd"/>
      <w:r w:rsidRPr="00753032">
        <w:rPr>
          <w:rFonts w:eastAsia="標楷體" w:hint="eastAsia"/>
          <w:kern w:val="3"/>
          <w:szCs w:val="28"/>
          <w:highlight w:val="yellow"/>
        </w:rPr>
        <w:t>及發展再生能源之方向發展，目前學術界與產業界已持續進行產學合作交流，並舉辦各項研討會議及國際競賽，積極倡議各界以「人才培育」作為</w:t>
      </w:r>
      <w:r w:rsidRPr="00753032">
        <w:rPr>
          <w:rFonts w:eastAsia="標楷體" w:hint="eastAsia"/>
          <w:kern w:val="3"/>
          <w:szCs w:val="28"/>
          <w:highlight w:val="yellow"/>
        </w:rPr>
        <w:t xml:space="preserve">2050 </w:t>
      </w:r>
      <w:proofErr w:type="gramStart"/>
      <w:r w:rsidRPr="00753032">
        <w:rPr>
          <w:rFonts w:eastAsia="標楷體" w:hint="eastAsia"/>
          <w:kern w:val="3"/>
          <w:szCs w:val="28"/>
          <w:highlight w:val="yellow"/>
        </w:rPr>
        <w:t>淨零排</w:t>
      </w:r>
      <w:proofErr w:type="gramEnd"/>
      <w:r w:rsidRPr="00753032">
        <w:rPr>
          <w:rFonts w:eastAsia="標楷體" w:hint="eastAsia"/>
          <w:kern w:val="3"/>
          <w:szCs w:val="28"/>
          <w:highlight w:val="yellow"/>
        </w:rPr>
        <w:t>放的源頭活水，以提升國際競爭力。</w:t>
      </w:r>
    </w:p>
    <w:p w:rsidR="00615DD7" w:rsidRPr="00753032" w:rsidRDefault="00615DD7" w:rsidP="001210C8">
      <w:pPr>
        <w:numPr>
          <w:ilvl w:val="6"/>
          <w:numId w:val="7"/>
        </w:numPr>
        <w:tabs>
          <w:tab w:val="num" w:pos="993"/>
        </w:tabs>
        <w:suppressAutoHyphens/>
        <w:autoSpaceDN w:val="0"/>
        <w:spacing w:before="240" w:line="360" w:lineRule="exact"/>
        <w:ind w:hanging="2639"/>
        <w:jc w:val="both"/>
        <w:textAlignment w:val="baseline"/>
        <w:rPr>
          <w:rFonts w:eastAsia="標楷體"/>
          <w:b/>
          <w:kern w:val="3"/>
          <w:szCs w:val="28"/>
          <w:highlight w:val="yellow"/>
          <w:lang w:eastAsia="zh-HK"/>
        </w:rPr>
      </w:pPr>
      <w:r w:rsidRPr="00753032">
        <w:rPr>
          <w:rFonts w:eastAsia="標楷體" w:hint="eastAsia"/>
          <w:b/>
          <w:kern w:val="3"/>
          <w:szCs w:val="28"/>
          <w:highlight w:val="yellow"/>
          <w:lang w:eastAsia="zh-HK"/>
        </w:rPr>
        <w:t>11</w:t>
      </w:r>
      <w:r w:rsidR="00753032" w:rsidRPr="00753032">
        <w:rPr>
          <w:rFonts w:eastAsia="標楷體"/>
          <w:b/>
          <w:kern w:val="3"/>
          <w:szCs w:val="28"/>
          <w:highlight w:val="yellow"/>
        </w:rPr>
        <w:t>4</w:t>
      </w:r>
      <w:r w:rsidRPr="00753032">
        <w:rPr>
          <w:rFonts w:eastAsia="標楷體" w:hint="eastAsia"/>
          <w:b/>
          <w:kern w:val="3"/>
          <w:szCs w:val="28"/>
          <w:highlight w:val="yellow"/>
          <w:lang w:eastAsia="zh-HK"/>
        </w:rPr>
        <w:t>年度規劃發展重點領域或特色之</w:t>
      </w:r>
      <w:r w:rsidRPr="00753032">
        <w:rPr>
          <w:rFonts w:eastAsia="標楷體" w:hint="eastAsia"/>
          <w:b/>
          <w:kern w:val="3"/>
          <w:szCs w:val="28"/>
          <w:highlight w:val="yellow"/>
          <w:u w:val="single"/>
          <w:lang w:eastAsia="zh-HK"/>
        </w:rPr>
        <w:t>留住及延攬研究人才策略</w:t>
      </w:r>
    </w:p>
    <w:p w:rsidR="00615DD7" w:rsidRPr="00753032" w:rsidRDefault="00615DD7" w:rsidP="00615DD7">
      <w:pPr>
        <w:suppressAutoHyphens/>
        <w:autoSpaceDN w:val="0"/>
        <w:spacing w:line="360" w:lineRule="exact"/>
        <w:ind w:left="737" w:firstLineChars="165" w:firstLine="396"/>
        <w:jc w:val="both"/>
        <w:textAlignment w:val="baseline"/>
        <w:rPr>
          <w:rFonts w:eastAsia="標楷體"/>
          <w:kern w:val="3"/>
          <w:highlight w:val="yellow"/>
        </w:rPr>
      </w:pPr>
      <w:r w:rsidRPr="00753032">
        <w:rPr>
          <w:rFonts w:eastAsia="標楷體" w:hint="eastAsia"/>
          <w:kern w:val="3"/>
          <w:highlight w:val="yellow"/>
        </w:rPr>
        <w:t>我校為醫護人員培育之搖籃，在國家醫療環境進行數位轉型時，高等教育更需擔負起數位醫護人才之培育，</w:t>
      </w:r>
      <w:proofErr w:type="gramStart"/>
      <w:r w:rsidRPr="00753032">
        <w:rPr>
          <w:rFonts w:eastAsia="標楷體" w:hint="eastAsia"/>
          <w:kern w:val="3"/>
          <w:highlight w:val="yellow"/>
        </w:rPr>
        <w:t>策略面首以</w:t>
      </w:r>
      <w:proofErr w:type="gramEnd"/>
      <w:r w:rsidRPr="00753032">
        <w:rPr>
          <w:rFonts w:eastAsia="標楷體" w:hint="eastAsia"/>
          <w:kern w:val="3"/>
          <w:highlight w:val="yellow"/>
        </w:rPr>
        <w:t>改善師資：利用校內大型計畫經費</w:t>
      </w:r>
      <w:proofErr w:type="gramStart"/>
      <w:r w:rsidRPr="00753032">
        <w:rPr>
          <w:rFonts w:eastAsia="標楷體" w:hint="eastAsia"/>
          <w:kern w:val="3"/>
          <w:highlight w:val="yellow"/>
        </w:rPr>
        <w:t>挹</w:t>
      </w:r>
      <w:proofErr w:type="gramEnd"/>
      <w:r w:rsidRPr="00753032">
        <w:rPr>
          <w:rFonts w:eastAsia="標楷體" w:hint="eastAsia"/>
          <w:kern w:val="3"/>
          <w:highlight w:val="yellow"/>
        </w:rPr>
        <w:t>注，聘任國內外相關學者，進行教師增能；對有</w:t>
      </w:r>
      <w:proofErr w:type="gramStart"/>
      <w:r w:rsidRPr="00753032">
        <w:rPr>
          <w:rFonts w:eastAsia="標楷體" w:hint="eastAsia"/>
          <w:kern w:val="3"/>
          <w:highlight w:val="yellow"/>
        </w:rPr>
        <w:t>特殊跨域專</w:t>
      </w:r>
      <w:proofErr w:type="gramEnd"/>
      <w:r w:rsidRPr="00753032">
        <w:rPr>
          <w:rFonts w:eastAsia="標楷體" w:hint="eastAsia"/>
          <w:kern w:val="3"/>
          <w:highlight w:val="yellow"/>
        </w:rPr>
        <w:t>才之教師進行校內研究計畫、獎勵或評鑑考量；籌設相關專業教師社群，提升教師</w:t>
      </w:r>
      <w:proofErr w:type="gramStart"/>
      <w:r w:rsidRPr="00753032">
        <w:rPr>
          <w:rFonts w:eastAsia="標楷體" w:hint="eastAsia"/>
          <w:kern w:val="3"/>
          <w:highlight w:val="yellow"/>
        </w:rPr>
        <w:t>數位跨域研究</w:t>
      </w:r>
      <w:proofErr w:type="gramEnd"/>
      <w:r w:rsidRPr="00753032">
        <w:rPr>
          <w:rFonts w:eastAsia="標楷體" w:hint="eastAsia"/>
          <w:kern w:val="3"/>
          <w:highlight w:val="yellow"/>
        </w:rPr>
        <w:t>之能量；其次再教育課程面：融入數位資訊能力、發掘學科或實作表現優異之學生，在校內提供相關獎勵、輔導其升學或與校合作之相關企業就業。</w:t>
      </w:r>
    </w:p>
    <w:p w:rsidR="00615DD7" w:rsidRPr="00753032" w:rsidRDefault="00615DD7" w:rsidP="00615DD7">
      <w:pPr>
        <w:suppressAutoHyphens/>
        <w:autoSpaceDN w:val="0"/>
        <w:spacing w:line="360" w:lineRule="exact"/>
        <w:ind w:left="737" w:firstLineChars="165" w:firstLine="396"/>
        <w:jc w:val="both"/>
        <w:textAlignment w:val="baseline"/>
        <w:rPr>
          <w:rFonts w:eastAsia="標楷體"/>
          <w:kern w:val="3"/>
          <w:highlight w:val="yellow"/>
        </w:rPr>
      </w:pPr>
      <w:proofErr w:type="gramStart"/>
      <w:r w:rsidRPr="00753032">
        <w:rPr>
          <w:rFonts w:eastAsia="標楷體" w:hint="eastAsia"/>
          <w:kern w:val="3"/>
          <w:highlight w:val="yellow"/>
        </w:rPr>
        <w:t>視光為</w:t>
      </w:r>
      <w:proofErr w:type="gramEnd"/>
      <w:r w:rsidRPr="00753032">
        <w:rPr>
          <w:rFonts w:eastAsia="標楷體" w:hint="eastAsia"/>
          <w:kern w:val="3"/>
          <w:highlight w:val="yellow"/>
        </w:rPr>
        <w:t>台灣學術界正在逐步成長的領域，</w:t>
      </w:r>
      <w:proofErr w:type="gramStart"/>
      <w:r w:rsidRPr="00753032">
        <w:rPr>
          <w:rFonts w:eastAsia="標楷體" w:hint="eastAsia"/>
          <w:kern w:val="3"/>
          <w:highlight w:val="yellow"/>
        </w:rPr>
        <w:t>視光</w:t>
      </w:r>
      <w:proofErr w:type="gramEnd"/>
      <w:r w:rsidRPr="00753032">
        <w:rPr>
          <w:rFonts w:eastAsia="標楷體" w:hint="eastAsia"/>
          <w:kern w:val="3"/>
          <w:highlight w:val="yellow"/>
        </w:rPr>
        <w:t>系的主要培育目標為培育專業驗光師，</w:t>
      </w:r>
      <w:r w:rsidRPr="00753032">
        <w:rPr>
          <w:rFonts w:eastAsia="標楷體"/>
          <w:kern w:val="3"/>
          <w:highlight w:val="yellow"/>
        </w:rPr>
        <w:t>根據</w:t>
      </w:r>
      <w:r w:rsidRPr="00753032">
        <w:rPr>
          <w:rFonts w:eastAsia="標楷體"/>
          <w:kern w:val="3"/>
          <w:highlight w:val="yellow"/>
        </w:rPr>
        <w:t>2016</w:t>
      </w:r>
      <w:r w:rsidRPr="00753032">
        <w:rPr>
          <w:rFonts w:eastAsia="標楷體"/>
          <w:kern w:val="3"/>
          <w:highlight w:val="yellow"/>
        </w:rPr>
        <w:t>年世界衛生組織</w:t>
      </w:r>
      <w:r w:rsidRPr="00753032">
        <w:rPr>
          <w:rFonts w:eastAsia="標楷體"/>
          <w:kern w:val="3"/>
          <w:highlight w:val="yellow"/>
        </w:rPr>
        <w:t>WHO</w:t>
      </w:r>
      <w:r w:rsidRPr="00753032">
        <w:rPr>
          <w:rFonts w:eastAsia="標楷體"/>
          <w:kern w:val="3"/>
          <w:highlight w:val="yellow"/>
        </w:rPr>
        <w:t>依相關文獻之預估，</w:t>
      </w:r>
      <w:r w:rsidRPr="00753032">
        <w:rPr>
          <w:rFonts w:eastAsia="標楷體"/>
          <w:kern w:val="3"/>
          <w:highlight w:val="yellow"/>
        </w:rPr>
        <w:t>2020</w:t>
      </w:r>
      <w:r w:rsidRPr="00753032">
        <w:rPr>
          <w:rFonts w:eastAsia="標楷體"/>
          <w:kern w:val="3"/>
          <w:highlight w:val="yellow"/>
        </w:rPr>
        <w:t>年全世界的近視盛行率約為</w:t>
      </w:r>
      <w:r w:rsidRPr="00753032">
        <w:rPr>
          <w:rFonts w:eastAsia="標楷體"/>
          <w:kern w:val="3"/>
          <w:highlight w:val="yellow"/>
        </w:rPr>
        <w:t>33%</w:t>
      </w:r>
      <w:r w:rsidRPr="00753032">
        <w:rPr>
          <w:rFonts w:eastAsia="標楷體"/>
          <w:kern w:val="3"/>
          <w:highlight w:val="yellow"/>
        </w:rPr>
        <w:t>，而高度近視率</w:t>
      </w:r>
      <w:r w:rsidRPr="00753032">
        <w:rPr>
          <w:rFonts w:eastAsia="標楷體"/>
          <w:kern w:val="3"/>
          <w:highlight w:val="yellow"/>
        </w:rPr>
        <w:t>(</w:t>
      </w:r>
      <w:r w:rsidRPr="00753032">
        <w:rPr>
          <w:rFonts w:eastAsia="標楷體"/>
          <w:kern w:val="3"/>
          <w:highlight w:val="yellow"/>
        </w:rPr>
        <w:t>任一眼屈光不正超過</w:t>
      </w:r>
      <w:r w:rsidRPr="00753032">
        <w:rPr>
          <w:rFonts w:eastAsia="標楷體"/>
          <w:kern w:val="3"/>
          <w:highlight w:val="yellow"/>
        </w:rPr>
        <w:t>5.00D)</w:t>
      </w:r>
      <w:r w:rsidRPr="00753032">
        <w:rPr>
          <w:rFonts w:eastAsia="標楷體"/>
          <w:kern w:val="3"/>
          <w:highlight w:val="yellow"/>
        </w:rPr>
        <w:t>約為</w:t>
      </w:r>
      <w:r w:rsidRPr="00753032">
        <w:rPr>
          <w:rFonts w:eastAsia="標楷體"/>
          <w:kern w:val="3"/>
          <w:highlight w:val="yellow"/>
        </w:rPr>
        <w:t>4%</w:t>
      </w:r>
      <w:r w:rsidRPr="00753032">
        <w:rPr>
          <w:rFonts w:eastAsia="標楷體"/>
          <w:kern w:val="3"/>
          <w:highlight w:val="yellow"/>
        </w:rPr>
        <w:t>。推估至</w:t>
      </w:r>
      <w:r w:rsidRPr="00753032">
        <w:rPr>
          <w:rFonts w:eastAsia="標楷體"/>
          <w:kern w:val="3"/>
          <w:highlight w:val="yellow"/>
        </w:rPr>
        <w:t>2050</w:t>
      </w:r>
      <w:r w:rsidRPr="00753032">
        <w:rPr>
          <w:rFonts w:eastAsia="標楷體"/>
          <w:kern w:val="3"/>
          <w:highlight w:val="yellow"/>
        </w:rPr>
        <w:t>年時全球近視盛行率將高達</w:t>
      </w:r>
      <w:r w:rsidRPr="00753032">
        <w:rPr>
          <w:rFonts w:eastAsia="標楷體"/>
          <w:kern w:val="3"/>
          <w:highlight w:val="yellow"/>
        </w:rPr>
        <w:t>52%</w:t>
      </w:r>
      <w:r w:rsidRPr="00753032">
        <w:rPr>
          <w:rFonts w:eastAsia="標楷體"/>
          <w:kern w:val="3"/>
          <w:highlight w:val="yellow"/>
        </w:rPr>
        <w:t>，高度近視率將增加至</w:t>
      </w:r>
      <w:r w:rsidRPr="00753032">
        <w:rPr>
          <w:rFonts w:eastAsia="標楷體"/>
          <w:kern w:val="3"/>
          <w:highlight w:val="yellow"/>
        </w:rPr>
        <w:t>10%</w:t>
      </w:r>
      <w:r w:rsidRPr="00753032">
        <w:rPr>
          <w:rFonts w:eastAsia="標楷體"/>
          <w:kern w:val="3"/>
          <w:highlight w:val="yellow"/>
        </w:rPr>
        <w:t>。我國的近視盛行率，在</w:t>
      </w:r>
      <w:r w:rsidRPr="00753032">
        <w:rPr>
          <w:rFonts w:eastAsia="標楷體"/>
          <w:kern w:val="3"/>
          <w:highlight w:val="yellow"/>
        </w:rPr>
        <w:t>2017</w:t>
      </w:r>
      <w:r w:rsidRPr="00753032">
        <w:rPr>
          <w:rFonts w:eastAsia="標楷體"/>
          <w:kern w:val="3"/>
          <w:highlight w:val="yellow"/>
        </w:rPr>
        <w:t>年的統計，高中生近視盛行率接近</w:t>
      </w:r>
      <w:proofErr w:type="gramStart"/>
      <w:r w:rsidRPr="00753032">
        <w:rPr>
          <w:rFonts w:eastAsia="標楷體"/>
          <w:kern w:val="3"/>
          <w:highlight w:val="yellow"/>
        </w:rPr>
        <w:t>9</w:t>
      </w:r>
      <w:r w:rsidRPr="00753032">
        <w:rPr>
          <w:rFonts w:eastAsia="標楷體"/>
          <w:kern w:val="3"/>
          <w:highlight w:val="yellow"/>
        </w:rPr>
        <w:t>成</w:t>
      </w:r>
      <w:proofErr w:type="gramEnd"/>
      <w:r w:rsidRPr="00753032">
        <w:rPr>
          <w:rFonts w:eastAsia="標楷體"/>
          <w:kern w:val="3"/>
          <w:highlight w:val="yellow"/>
        </w:rPr>
        <w:t>、高度近視的盛行率達</w:t>
      </w:r>
      <w:r w:rsidRPr="00753032">
        <w:rPr>
          <w:rFonts w:eastAsia="標楷體"/>
          <w:kern w:val="3"/>
          <w:highlight w:val="yellow"/>
        </w:rPr>
        <w:t>35.7%</w:t>
      </w:r>
      <w:r w:rsidRPr="00753032">
        <w:rPr>
          <w:rFonts w:eastAsia="標楷體"/>
          <w:kern w:val="3"/>
          <w:highlight w:val="yellow"/>
        </w:rPr>
        <w:t>，大學以上學生屈光不正比例已超過</w:t>
      </w:r>
      <w:r w:rsidRPr="00753032">
        <w:rPr>
          <w:rFonts w:eastAsia="標楷體"/>
          <w:kern w:val="3"/>
          <w:highlight w:val="yellow"/>
        </w:rPr>
        <w:t>90%</w:t>
      </w:r>
      <w:r w:rsidRPr="00753032">
        <w:rPr>
          <w:rFonts w:eastAsia="標楷體"/>
          <w:kern w:val="3"/>
          <w:highlight w:val="yellow"/>
        </w:rPr>
        <w:t>，若以</w:t>
      </w:r>
      <w:r w:rsidRPr="00753032">
        <w:rPr>
          <w:rFonts w:eastAsia="標楷體"/>
          <w:kern w:val="3"/>
          <w:highlight w:val="yellow"/>
        </w:rPr>
        <w:t>WHO</w:t>
      </w:r>
      <w:r w:rsidRPr="00753032">
        <w:rPr>
          <w:rFonts w:eastAsia="標楷體"/>
          <w:kern w:val="3"/>
          <w:highlight w:val="yellow"/>
        </w:rPr>
        <w:t>相關文獻的預估，臺灣在</w:t>
      </w:r>
      <w:r w:rsidRPr="00753032">
        <w:rPr>
          <w:rFonts w:eastAsia="標楷體"/>
          <w:kern w:val="3"/>
          <w:highlight w:val="yellow"/>
        </w:rPr>
        <w:t>2050</w:t>
      </w:r>
      <w:r w:rsidRPr="00753032">
        <w:rPr>
          <w:rFonts w:eastAsia="標楷體"/>
          <w:kern w:val="3"/>
          <w:highlight w:val="yellow"/>
        </w:rPr>
        <w:t>年之近視人口盛行率將接近</w:t>
      </w:r>
      <w:r w:rsidRPr="00753032">
        <w:rPr>
          <w:rFonts w:eastAsia="標楷體"/>
          <w:kern w:val="3"/>
          <w:highlight w:val="yellow"/>
        </w:rPr>
        <w:t>100%</w:t>
      </w:r>
      <w:r w:rsidRPr="00753032">
        <w:rPr>
          <w:rFonts w:eastAsia="標楷體"/>
          <w:kern w:val="3"/>
          <w:highlight w:val="yellow"/>
        </w:rPr>
        <w:t>，高度近視盛行率也將近達</w:t>
      </w:r>
      <w:r w:rsidRPr="00753032">
        <w:rPr>
          <w:rFonts w:eastAsia="標楷體"/>
          <w:kern w:val="3"/>
          <w:highlight w:val="yellow"/>
        </w:rPr>
        <w:t>50%</w:t>
      </w:r>
      <w:r w:rsidRPr="00753032">
        <w:rPr>
          <w:rFonts w:eastAsia="標楷體"/>
          <w:kern w:val="3"/>
          <w:highlight w:val="yellow"/>
        </w:rPr>
        <w:t>。另外高齡化社會的發展也造成眼科疾病就診數大量增加，</w:t>
      </w:r>
      <w:r w:rsidRPr="00753032">
        <w:rPr>
          <w:rFonts w:eastAsia="標楷體"/>
          <w:kern w:val="3"/>
          <w:highlight w:val="yellow"/>
        </w:rPr>
        <w:t>2016</w:t>
      </w:r>
      <w:r w:rsidRPr="00753032">
        <w:rPr>
          <w:rFonts w:eastAsia="標楷體"/>
          <w:kern w:val="3"/>
          <w:highlight w:val="yellow"/>
        </w:rPr>
        <w:t>年全民健康保險醫療統計近</w:t>
      </w:r>
      <w:r w:rsidRPr="00753032">
        <w:rPr>
          <w:rFonts w:eastAsia="標楷體"/>
          <w:kern w:val="3"/>
          <w:highlight w:val="yellow"/>
        </w:rPr>
        <w:t>5</w:t>
      </w:r>
      <w:r w:rsidRPr="00753032">
        <w:rPr>
          <w:rFonts w:eastAsia="標楷體"/>
          <w:kern w:val="3"/>
          <w:highlight w:val="yellow"/>
        </w:rPr>
        <w:t>年</w:t>
      </w:r>
      <w:r w:rsidRPr="00753032">
        <w:rPr>
          <w:rFonts w:eastAsia="標楷體"/>
          <w:kern w:val="3"/>
          <w:highlight w:val="yellow"/>
        </w:rPr>
        <w:t>65</w:t>
      </w:r>
      <w:r w:rsidRPr="00753032">
        <w:rPr>
          <w:rFonts w:eastAsia="標楷體"/>
          <w:kern w:val="3"/>
          <w:highlight w:val="yellow"/>
        </w:rPr>
        <w:t>歲以上老人之眼疾門診醫療費用增長超過三成以上，</w:t>
      </w:r>
      <w:proofErr w:type="gramStart"/>
      <w:r w:rsidRPr="00753032">
        <w:rPr>
          <w:rFonts w:eastAsia="標楷體"/>
          <w:kern w:val="3"/>
          <w:highlight w:val="yellow"/>
        </w:rPr>
        <w:t>門診術量與</w:t>
      </w:r>
      <w:proofErr w:type="gramEnd"/>
      <w:r w:rsidRPr="00753032">
        <w:rPr>
          <w:rFonts w:eastAsia="標楷體"/>
          <w:kern w:val="3"/>
          <w:highlight w:val="yellow"/>
        </w:rPr>
        <w:t>診療費用的增加，</w:t>
      </w:r>
      <w:proofErr w:type="gramStart"/>
      <w:r w:rsidRPr="00753032">
        <w:rPr>
          <w:rFonts w:eastAsia="標楷體"/>
          <w:kern w:val="3"/>
          <w:highlight w:val="yellow"/>
        </w:rPr>
        <w:t>這皆代</w:t>
      </w:r>
      <w:proofErr w:type="gramEnd"/>
      <w:r w:rsidRPr="00753032">
        <w:rPr>
          <w:rFonts w:eastAsia="標楷體"/>
          <w:kern w:val="3"/>
          <w:highlight w:val="yellow"/>
        </w:rPr>
        <w:t>表眼科醫師需要更多的驗光師協助分擔屈光檢查之項目。高齡化後容易產生的眼科疾病包括白內障、青光眼、糖尿病、黃斑性病變等。經過統計全球視覺障礙人口中，屈光不正為主因，其次即為白內障。白內障不僅是高齡人口失明或視力障礙的最主要原因，也會影響高齡者生活品質。根據衛生福利部</w:t>
      </w:r>
      <w:proofErr w:type="gramStart"/>
      <w:r w:rsidRPr="00753032">
        <w:rPr>
          <w:rFonts w:eastAsia="標楷體"/>
          <w:kern w:val="3"/>
          <w:highlight w:val="yellow"/>
        </w:rPr>
        <w:t>醫</w:t>
      </w:r>
      <w:proofErr w:type="gramEnd"/>
      <w:r w:rsidRPr="00753032">
        <w:rPr>
          <w:rFonts w:eastAsia="標楷體"/>
          <w:kern w:val="3"/>
          <w:highlight w:val="yellow"/>
        </w:rPr>
        <w:t>事司於</w:t>
      </w:r>
      <w:r w:rsidRPr="00753032">
        <w:rPr>
          <w:rFonts w:eastAsia="標楷體"/>
          <w:kern w:val="3"/>
          <w:highlight w:val="yellow"/>
        </w:rPr>
        <w:t>2020</w:t>
      </w:r>
      <w:r w:rsidRPr="00753032">
        <w:rPr>
          <w:rFonts w:eastAsia="標楷體"/>
          <w:kern w:val="3"/>
          <w:highlight w:val="yellow"/>
        </w:rPr>
        <w:t>年</w:t>
      </w:r>
      <w:r w:rsidRPr="00753032">
        <w:rPr>
          <w:rFonts w:eastAsia="標楷體"/>
          <w:kern w:val="3"/>
          <w:highlight w:val="yellow"/>
        </w:rPr>
        <w:t>6</w:t>
      </w:r>
      <w:r w:rsidRPr="00753032">
        <w:rPr>
          <w:rFonts w:eastAsia="標楷體"/>
          <w:kern w:val="3"/>
          <w:highlight w:val="yellow"/>
        </w:rPr>
        <w:t>月統計驗光師就業市場現況，全台眼鏡門市約</w:t>
      </w:r>
      <w:r w:rsidRPr="00753032">
        <w:rPr>
          <w:rFonts w:eastAsia="標楷體"/>
          <w:kern w:val="3"/>
          <w:highlight w:val="yellow"/>
        </w:rPr>
        <w:t>7321</w:t>
      </w:r>
      <w:r w:rsidRPr="00753032">
        <w:rPr>
          <w:rFonts w:eastAsia="標楷體"/>
          <w:kern w:val="3"/>
          <w:highlight w:val="yellow"/>
        </w:rPr>
        <w:t>間，合格驗光所共</w:t>
      </w:r>
      <w:r w:rsidRPr="00753032">
        <w:rPr>
          <w:rFonts w:eastAsia="標楷體"/>
          <w:kern w:val="3"/>
          <w:highlight w:val="yellow"/>
        </w:rPr>
        <w:t>2,388</w:t>
      </w:r>
      <w:r w:rsidRPr="00753032">
        <w:rPr>
          <w:rFonts w:eastAsia="標楷體"/>
          <w:kern w:val="3"/>
          <w:highlight w:val="yellow"/>
        </w:rPr>
        <w:t>間，全國眼科診所為</w:t>
      </w:r>
      <w:r w:rsidRPr="00753032">
        <w:rPr>
          <w:rFonts w:eastAsia="標楷體"/>
          <w:kern w:val="3"/>
          <w:highlight w:val="yellow"/>
        </w:rPr>
        <w:t>751</w:t>
      </w:r>
      <w:r w:rsidRPr="00753032">
        <w:rPr>
          <w:rFonts w:eastAsia="標楷體"/>
          <w:kern w:val="3"/>
          <w:highlight w:val="yellow"/>
        </w:rPr>
        <w:t>間，依法案規定於</w:t>
      </w:r>
      <w:r w:rsidRPr="00753032">
        <w:rPr>
          <w:rFonts w:eastAsia="標楷體"/>
          <w:kern w:val="3"/>
          <w:highlight w:val="yellow"/>
        </w:rPr>
        <w:t>2025</w:t>
      </w:r>
      <w:r w:rsidRPr="00753032">
        <w:rPr>
          <w:rFonts w:eastAsia="標楷體"/>
          <w:kern w:val="3"/>
          <w:highlight w:val="yellow"/>
        </w:rPr>
        <w:t>年落日條款截止，所有未成立驗光所及未取得驗光人員執照者皆需停業。依現況每間眼鏡門市及診所需聘任</w:t>
      </w:r>
      <w:r w:rsidRPr="00753032">
        <w:rPr>
          <w:rFonts w:eastAsia="標楷體"/>
          <w:kern w:val="3"/>
          <w:highlight w:val="yellow"/>
        </w:rPr>
        <w:t>2-4</w:t>
      </w:r>
      <w:r w:rsidRPr="00753032">
        <w:rPr>
          <w:rFonts w:eastAsia="標楷體"/>
          <w:kern w:val="3"/>
          <w:highlight w:val="yellow"/>
        </w:rPr>
        <w:t>位驗光人員，</w:t>
      </w:r>
      <w:proofErr w:type="gramStart"/>
      <w:r w:rsidRPr="00753032">
        <w:rPr>
          <w:rFonts w:eastAsia="標楷體"/>
          <w:kern w:val="3"/>
          <w:highlight w:val="yellow"/>
        </w:rPr>
        <w:t>衛福部及</w:t>
      </w:r>
      <w:proofErr w:type="gramEnd"/>
      <w:r w:rsidRPr="00753032">
        <w:rPr>
          <w:rFonts w:eastAsia="標楷體"/>
          <w:kern w:val="3"/>
          <w:highlight w:val="yellow"/>
        </w:rPr>
        <w:t>考試院曾預估全國驗光人員之醫事人力需求約為</w:t>
      </w:r>
      <w:r w:rsidRPr="00753032">
        <w:rPr>
          <w:rFonts w:eastAsia="標楷體"/>
          <w:kern w:val="3"/>
          <w:highlight w:val="yellow"/>
        </w:rPr>
        <w:t>2</w:t>
      </w:r>
      <w:r w:rsidRPr="00753032">
        <w:rPr>
          <w:rFonts w:eastAsia="標楷體"/>
          <w:kern w:val="3"/>
          <w:highlight w:val="yellow"/>
        </w:rPr>
        <w:t>萬</w:t>
      </w:r>
      <w:r w:rsidRPr="00753032">
        <w:rPr>
          <w:rFonts w:eastAsia="標楷體"/>
          <w:kern w:val="3"/>
          <w:highlight w:val="yellow"/>
        </w:rPr>
        <w:t>6</w:t>
      </w:r>
      <w:r w:rsidRPr="00753032">
        <w:rPr>
          <w:rFonts w:eastAsia="標楷體"/>
          <w:kern w:val="3"/>
          <w:highlight w:val="yellow"/>
        </w:rPr>
        <w:t>千人。至</w:t>
      </w:r>
      <w:r w:rsidRPr="00753032">
        <w:rPr>
          <w:rFonts w:eastAsia="標楷體"/>
          <w:kern w:val="3"/>
          <w:highlight w:val="yellow"/>
        </w:rPr>
        <w:t>2019</w:t>
      </w:r>
      <w:r w:rsidRPr="00753032">
        <w:rPr>
          <w:rFonts w:eastAsia="標楷體"/>
          <w:kern w:val="3"/>
          <w:highlight w:val="yellow"/>
        </w:rPr>
        <w:t>年底統計全國執業驗光師為</w:t>
      </w:r>
      <w:r w:rsidRPr="00753032">
        <w:rPr>
          <w:rFonts w:eastAsia="標楷體"/>
          <w:kern w:val="3"/>
          <w:highlight w:val="yellow"/>
        </w:rPr>
        <w:t>1,687</w:t>
      </w:r>
      <w:r w:rsidRPr="00753032">
        <w:rPr>
          <w:rFonts w:eastAsia="標楷體"/>
          <w:kern w:val="3"/>
          <w:highlight w:val="yellow"/>
        </w:rPr>
        <w:t>人、驗光生為</w:t>
      </w:r>
      <w:r w:rsidRPr="00753032">
        <w:rPr>
          <w:rFonts w:eastAsia="標楷體"/>
          <w:kern w:val="3"/>
          <w:highlight w:val="yellow"/>
        </w:rPr>
        <w:t>2,000</w:t>
      </w:r>
      <w:r w:rsidRPr="00753032">
        <w:rPr>
          <w:rFonts w:eastAsia="標楷體"/>
          <w:kern w:val="3"/>
          <w:highlight w:val="yellow"/>
        </w:rPr>
        <w:t>人，執業驗光人員共</w:t>
      </w:r>
      <w:r w:rsidRPr="00753032">
        <w:rPr>
          <w:rFonts w:eastAsia="標楷體"/>
          <w:kern w:val="3"/>
          <w:highlight w:val="yellow"/>
        </w:rPr>
        <w:t>3,687</w:t>
      </w:r>
      <w:r w:rsidRPr="00753032">
        <w:rPr>
          <w:rFonts w:eastAsia="標楷體"/>
          <w:kern w:val="3"/>
          <w:highlight w:val="yellow"/>
        </w:rPr>
        <w:t>人。目前驗光人員執業數量遠遠無法滿足市場需求。</w:t>
      </w:r>
    </w:p>
    <w:p w:rsidR="00615DD7" w:rsidRPr="00753032" w:rsidRDefault="00615DD7" w:rsidP="00615DD7">
      <w:pPr>
        <w:suppressAutoHyphens/>
        <w:autoSpaceDN w:val="0"/>
        <w:spacing w:line="360" w:lineRule="exact"/>
        <w:ind w:left="737" w:firstLineChars="165" w:firstLine="396"/>
        <w:jc w:val="both"/>
        <w:textAlignment w:val="baseline"/>
        <w:rPr>
          <w:rFonts w:eastAsia="標楷體"/>
          <w:kern w:val="3"/>
          <w:highlight w:val="yellow"/>
        </w:rPr>
      </w:pPr>
      <w:r w:rsidRPr="00753032">
        <w:rPr>
          <w:rFonts w:eastAsia="標楷體" w:hint="eastAsia"/>
          <w:kern w:val="3"/>
          <w:highlight w:val="yellow"/>
        </w:rPr>
        <w:t>本校當前之發展目標以教學為主，研究為輔之主軸，配合目前校內之相關人才進行</w:t>
      </w:r>
      <w:proofErr w:type="gramStart"/>
      <w:r w:rsidRPr="00753032">
        <w:rPr>
          <w:rFonts w:eastAsia="標楷體" w:hint="eastAsia"/>
          <w:kern w:val="3"/>
          <w:highlight w:val="yellow"/>
        </w:rPr>
        <w:t>國際間的合作</w:t>
      </w:r>
      <w:proofErr w:type="gramEnd"/>
      <w:r w:rsidRPr="00753032">
        <w:rPr>
          <w:rFonts w:eastAsia="標楷體" w:hint="eastAsia"/>
          <w:kern w:val="3"/>
          <w:highlight w:val="yellow"/>
        </w:rPr>
        <w:t>與招攬。首先將以目前校內主要的研究人才為開端，帶領相關教師進行</w:t>
      </w:r>
      <w:proofErr w:type="gramStart"/>
      <w:r w:rsidRPr="00753032">
        <w:rPr>
          <w:rFonts w:eastAsia="標楷體" w:hint="eastAsia"/>
          <w:kern w:val="3"/>
          <w:highlight w:val="yellow"/>
        </w:rPr>
        <w:t>國際間的研究</w:t>
      </w:r>
      <w:proofErr w:type="gramEnd"/>
      <w:r w:rsidRPr="00753032">
        <w:rPr>
          <w:rFonts w:eastAsia="標楷體" w:hint="eastAsia"/>
          <w:kern w:val="3"/>
          <w:highlight w:val="yellow"/>
        </w:rPr>
        <w:t>合作，除了能提升校內教師的能力外，亦能夠一併提升相關的研究產出。而後再以</w:t>
      </w:r>
      <w:proofErr w:type="gramStart"/>
      <w:r w:rsidRPr="00753032">
        <w:rPr>
          <w:rFonts w:eastAsia="標楷體" w:hint="eastAsia"/>
          <w:kern w:val="3"/>
          <w:highlight w:val="yellow"/>
        </w:rPr>
        <w:t>國際間的初步</w:t>
      </w:r>
      <w:proofErr w:type="gramEnd"/>
      <w:r w:rsidRPr="00753032">
        <w:rPr>
          <w:rFonts w:eastAsia="標楷體" w:hint="eastAsia"/>
          <w:kern w:val="3"/>
          <w:highlight w:val="yellow"/>
        </w:rPr>
        <w:t>合作為基礎，並以校內醫事相關特色發展之前景，吸引對本國或本校有興趣之學者進行合作。未來更希望能以產出成果來吸引更多國際學者，進一步針對研究或產學相關事務來合作。</w:t>
      </w:r>
      <w:proofErr w:type="gramStart"/>
      <w:r w:rsidRPr="00753032">
        <w:rPr>
          <w:rFonts w:eastAsia="標楷體" w:hint="eastAsia"/>
          <w:kern w:val="3"/>
          <w:highlight w:val="yellow"/>
        </w:rPr>
        <w:t>此外，</w:t>
      </w:r>
      <w:proofErr w:type="gramEnd"/>
      <w:r w:rsidRPr="00753032">
        <w:rPr>
          <w:rFonts w:eastAsia="標楷體" w:hint="eastAsia"/>
          <w:kern w:val="3"/>
          <w:highlight w:val="yellow"/>
        </w:rPr>
        <w:t>本校素來以醫事專業為特色，而未來相關醫學應用更是國內、外發展的重點之ㄧ，因此本校憑藉著此項特色來進行發展，必能夠有效的吸引相關國內、外人才來進行合作。</w:t>
      </w:r>
    </w:p>
    <w:p w:rsidR="00615DD7" w:rsidRPr="00753032" w:rsidRDefault="00615DD7" w:rsidP="00615DD7">
      <w:pPr>
        <w:suppressAutoHyphens/>
        <w:autoSpaceDN w:val="0"/>
        <w:spacing w:line="360" w:lineRule="exact"/>
        <w:ind w:left="737" w:firstLineChars="165" w:firstLine="396"/>
        <w:jc w:val="both"/>
        <w:textAlignment w:val="baseline"/>
        <w:rPr>
          <w:rFonts w:eastAsia="標楷體"/>
          <w:kern w:val="3"/>
          <w:highlight w:val="yellow"/>
        </w:rPr>
      </w:pPr>
      <w:r w:rsidRPr="00753032">
        <w:rPr>
          <w:rFonts w:eastAsia="標楷體" w:hint="eastAsia"/>
          <w:kern w:val="3"/>
          <w:highlight w:val="yellow"/>
        </w:rPr>
        <w:t>本校延攬國際人才策略：包括資深優秀研究人才及具潛力之新進人員兩部份。邀請傑出研究學者擔任兼任教授，對於本校國際能見度及名聲具重大之貢獻。未來</w:t>
      </w:r>
      <w:r w:rsidRPr="00753032">
        <w:rPr>
          <w:rFonts w:eastAsia="標楷體"/>
          <w:kern w:val="3"/>
          <w:highlight w:val="yellow"/>
        </w:rPr>
        <w:t>5</w:t>
      </w:r>
      <w:r w:rsidRPr="00753032">
        <w:rPr>
          <w:rFonts w:eastAsia="標楷體" w:hint="eastAsia"/>
          <w:kern w:val="3"/>
          <w:highlight w:val="yellow"/>
        </w:rPr>
        <w:t>年內規</w:t>
      </w:r>
      <w:r w:rsidRPr="00753032">
        <w:rPr>
          <w:rFonts w:eastAsia="標楷體" w:hint="eastAsia"/>
          <w:kern w:val="3"/>
          <w:highlight w:val="yellow"/>
        </w:rPr>
        <w:lastRenderedPageBreak/>
        <w:t>劃</w:t>
      </w:r>
      <w:proofErr w:type="gramStart"/>
      <w:r w:rsidRPr="00753032">
        <w:rPr>
          <w:rFonts w:eastAsia="標楷體" w:hint="eastAsia"/>
          <w:kern w:val="3"/>
          <w:highlight w:val="yellow"/>
        </w:rPr>
        <w:t>遴聘具</w:t>
      </w:r>
      <w:proofErr w:type="gramEnd"/>
      <w:r w:rsidRPr="00753032">
        <w:rPr>
          <w:rFonts w:eastAsia="標楷體" w:hint="eastAsia"/>
          <w:kern w:val="3"/>
          <w:highlight w:val="yellow"/>
        </w:rPr>
        <w:t>國際經驗、英語教學能力及發表高品質論文經驗之新進教師。鼓勵教師參加國際研討會，瞭解國際研究趨勢，認識相關專業學者，並鼓勵申請</w:t>
      </w:r>
      <w:r w:rsidR="00DD31F5" w:rsidRPr="00753032">
        <w:rPr>
          <w:rFonts w:eastAsia="標楷體" w:hint="eastAsia"/>
          <w:kern w:val="3"/>
          <w:highlight w:val="yellow"/>
        </w:rPr>
        <w:t>國科會</w:t>
      </w:r>
      <w:r w:rsidRPr="00753032">
        <w:rPr>
          <w:rFonts w:eastAsia="標楷體" w:hint="eastAsia"/>
          <w:kern w:val="3"/>
          <w:highlight w:val="yellow"/>
        </w:rPr>
        <w:t>補助科學與技術人員國外短期研究，以增加</w:t>
      </w:r>
      <w:proofErr w:type="gramStart"/>
      <w:r w:rsidRPr="00753032">
        <w:rPr>
          <w:rFonts w:eastAsia="標楷體" w:hint="eastAsia"/>
          <w:kern w:val="3"/>
          <w:highlight w:val="yellow"/>
        </w:rPr>
        <w:t>國際間的交流</w:t>
      </w:r>
      <w:proofErr w:type="gramEnd"/>
      <w:r w:rsidRPr="00753032">
        <w:rPr>
          <w:rFonts w:eastAsia="標楷體" w:hint="eastAsia"/>
          <w:kern w:val="3"/>
          <w:highlight w:val="yellow"/>
        </w:rPr>
        <w:t>。擔任國際期刊編輯委員、審查委員、國際研討會主持人，提高知名度以拓展國際合作的機會與市場。</w:t>
      </w:r>
      <w:proofErr w:type="gramStart"/>
      <w:r w:rsidRPr="00753032">
        <w:rPr>
          <w:rFonts w:eastAsia="標楷體" w:hint="eastAsia"/>
          <w:kern w:val="3"/>
          <w:highlight w:val="yellow"/>
        </w:rPr>
        <w:t>此外，</w:t>
      </w:r>
      <w:proofErr w:type="gramEnd"/>
      <w:r w:rsidRPr="00753032">
        <w:rPr>
          <w:rFonts w:eastAsia="標楷體" w:hint="eastAsia"/>
          <w:kern w:val="3"/>
          <w:highlight w:val="yellow"/>
        </w:rPr>
        <w:t>亦可經本校國際交流組籌畫海外交流活動機會；各系師生在海外攻讀學位或研習機會，邀請具有國際知名度或卓越成就的學者，以訪問學者方式，受聘蒞校指導，或以遠距教學的方式授課，提升校內師生的國際觀與競爭力。</w:t>
      </w:r>
    </w:p>
    <w:p w:rsidR="00615DD7" w:rsidRPr="00753032" w:rsidRDefault="00615DD7" w:rsidP="00615DD7">
      <w:pPr>
        <w:suppressAutoHyphens/>
        <w:autoSpaceDN w:val="0"/>
        <w:spacing w:line="360" w:lineRule="exact"/>
        <w:ind w:left="737" w:firstLineChars="165" w:firstLine="396"/>
        <w:jc w:val="both"/>
        <w:textAlignment w:val="baseline"/>
        <w:rPr>
          <w:rFonts w:ascii="標楷體" w:eastAsia="標楷體" w:hAnsi="標楷體" w:cs="新細明體"/>
          <w:kern w:val="0"/>
          <w:highlight w:val="yellow"/>
        </w:rPr>
      </w:pPr>
      <w:r w:rsidRPr="00753032">
        <w:rPr>
          <w:rFonts w:eastAsia="標楷體" w:hint="eastAsia"/>
          <w:kern w:val="3"/>
          <w:highlight w:val="yellow"/>
        </w:rPr>
        <w:t>以環保界現況，國際研究主流多半為空氣汙染防治、水污染整治與土壤整治，但就產業界需求觀之，廢棄物處理與資源回收產業則更具急迫性，未來將加強延攬該專長之研究人才，強化本校該領域之研發能量。</w:t>
      </w:r>
      <w:proofErr w:type="gramStart"/>
      <w:r w:rsidRPr="00753032">
        <w:rPr>
          <w:rFonts w:eastAsia="標楷體" w:hint="eastAsia"/>
          <w:kern w:val="3"/>
          <w:highlight w:val="yellow"/>
        </w:rPr>
        <w:t>此外，</w:t>
      </w:r>
      <w:proofErr w:type="gramEnd"/>
      <w:r w:rsidRPr="00753032">
        <w:rPr>
          <w:rFonts w:eastAsia="標楷體" w:hint="eastAsia"/>
          <w:kern w:val="3"/>
          <w:highlight w:val="yellow"/>
        </w:rPr>
        <w:t>因循環經濟是當前世界各國所提倡之重要永續發展策略，也是重要的研究發展主題，這個議題</w:t>
      </w:r>
      <w:r w:rsidRPr="00753032">
        <w:rPr>
          <w:rFonts w:ascii="標楷體" w:eastAsia="標楷體" w:hAnsi="標楷體" w:hint="eastAsia"/>
          <w:kern w:val="3"/>
          <w:highlight w:val="yellow"/>
        </w:rPr>
        <w:t>對</w:t>
      </w:r>
      <w:r w:rsidRPr="00753032">
        <w:rPr>
          <w:rFonts w:ascii="標楷體" w:eastAsia="標楷體" w:hAnsi="標楷體" w:cs="新細明體" w:hint="eastAsia"/>
          <w:kern w:val="0"/>
          <w:highlight w:val="yellow"/>
        </w:rPr>
        <w:t>台灣而言更為重要，因為我們地小人稠、高人口密度，卻有著全球數一數二高的碳排放量，以及廢棄物會無預警亂竄的社會現象。邁向循環經濟的設計，可以直接把污染和廢棄物轉換為有價值的資源，間接復甦這塊土地的生命力，提升百姓的生活環境。台灣，一個能資源、原物料短缺，極度仰賴進口的國家，邁向循環經濟的設計可以根本減少對原物料的依賴度，提升原物料的經濟效益，讓台灣在經濟發展和資源的掌握上都能享有更堅實的獨立自主。</w:t>
      </w:r>
    </w:p>
    <w:p w:rsidR="00005764" w:rsidRPr="00753032" w:rsidRDefault="00005764" w:rsidP="00005764">
      <w:pPr>
        <w:suppressAutoHyphens/>
        <w:autoSpaceDN w:val="0"/>
        <w:spacing w:line="360" w:lineRule="exact"/>
        <w:ind w:left="737" w:firstLineChars="165" w:firstLine="396"/>
        <w:jc w:val="both"/>
        <w:textAlignment w:val="baseline"/>
        <w:rPr>
          <w:rFonts w:eastAsia="標楷體"/>
          <w:kern w:val="3"/>
          <w:highlight w:val="yellow"/>
        </w:rPr>
      </w:pPr>
      <w:r w:rsidRPr="00753032">
        <w:rPr>
          <w:rFonts w:eastAsia="標楷體" w:hint="eastAsia"/>
          <w:kern w:val="3"/>
          <w:highlight w:val="yellow"/>
        </w:rPr>
        <w:t>永續發展與循環經濟更是政府積極推動之發展方向。「永續發展」為近年來熱門之探討話題，其訴求為「在保護環境的條件下既滿足當代人的需求，又以不損害後代人的需求為前瞻的發展模式」，期盼各產業界能以永續發展為產業發展目標，除了兼顧效能外，更要與環境產生和平共處之關係。「循環經濟」是一個兼顧經濟活動、在地就業、環境生態、能源自主的發展模式。這個資源可以不停循環與再生的經濟模式，讓每個人有機會能夠</w:t>
      </w:r>
      <w:r w:rsidRPr="00753032">
        <w:rPr>
          <w:rFonts w:eastAsia="標楷體"/>
          <w:kern w:val="3"/>
          <w:highlight w:val="yellow"/>
        </w:rPr>
        <w:t>重新想像未來。落實循環與再生經濟的發展思維，有利於改變國內政府與企業的體質，提升競爭力</w:t>
      </w:r>
      <w:r w:rsidRPr="00753032">
        <w:rPr>
          <w:rFonts w:eastAsia="標楷體" w:hint="eastAsia"/>
          <w:kern w:val="3"/>
          <w:highlight w:val="yellow"/>
        </w:rPr>
        <w:t>。</w:t>
      </w:r>
    </w:p>
    <w:p w:rsidR="00005764" w:rsidRPr="00753032" w:rsidRDefault="00005764" w:rsidP="00005764">
      <w:pPr>
        <w:suppressAutoHyphens/>
        <w:autoSpaceDN w:val="0"/>
        <w:spacing w:line="360" w:lineRule="exact"/>
        <w:ind w:left="737" w:firstLineChars="165" w:firstLine="396"/>
        <w:jc w:val="both"/>
        <w:textAlignment w:val="baseline"/>
        <w:rPr>
          <w:rFonts w:eastAsia="標楷體"/>
          <w:kern w:val="3"/>
          <w:highlight w:val="yellow"/>
        </w:rPr>
      </w:pPr>
      <w:r w:rsidRPr="00753032">
        <w:rPr>
          <w:rFonts w:eastAsia="標楷體"/>
          <w:kern w:val="3"/>
          <w:highlight w:val="yellow"/>
        </w:rPr>
        <w:t>因此，本校相關系科也加強循環經濟相關議題的教學與研究，</w:t>
      </w:r>
      <w:r w:rsidRPr="00753032">
        <w:rPr>
          <w:rFonts w:eastAsia="標楷體"/>
          <w:kern w:val="3"/>
          <w:highlight w:val="yellow"/>
        </w:rPr>
        <w:t>2022</w:t>
      </w:r>
      <w:r w:rsidRPr="00753032">
        <w:rPr>
          <w:rFonts w:eastAsia="標楷體"/>
          <w:kern w:val="3"/>
          <w:highlight w:val="yellow"/>
        </w:rPr>
        <w:t>年已舉辦</w:t>
      </w:r>
      <w:proofErr w:type="gramStart"/>
      <w:r w:rsidRPr="00753032">
        <w:rPr>
          <w:rFonts w:eastAsia="標楷體"/>
          <w:kern w:val="3"/>
          <w:highlight w:val="yellow"/>
        </w:rPr>
        <w:t>一場線上及</w:t>
      </w:r>
      <w:proofErr w:type="gramEnd"/>
      <w:r w:rsidRPr="00753032">
        <w:rPr>
          <w:rFonts w:eastAsia="標楷體"/>
          <w:kern w:val="3"/>
          <w:highlight w:val="yellow"/>
        </w:rPr>
        <w:t>實體並行之國際研討會「</w:t>
      </w:r>
      <w:r w:rsidRPr="00753032">
        <w:rPr>
          <w:rFonts w:eastAsia="標楷體"/>
          <w:kern w:val="3"/>
          <w:highlight w:val="yellow"/>
        </w:rPr>
        <w:t>International Symposium of Sustainable AI Application on Water and Human Life Sciences</w:t>
      </w:r>
      <w:r w:rsidRPr="00753032">
        <w:rPr>
          <w:rFonts w:eastAsia="標楷體" w:hint="eastAsia"/>
          <w:kern w:val="3"/>
          <w:highlight w:val="yellow"/>
        </w:rPr>
        <w:t>」，邀請日本鋼鐵及成大國際水質研究中心研發長等</w:t>
      </w:r>
      <w:r w:rsidRPr="00753032">
        <w:rPr>
          <w:rFonts w:eastAsia="標楷體"/>
          <w:kern w:val="3"/>
          <w:highlight w:val="yellow"/>
        </w:rPr>
        <w:t>KEYNOTE SPEAKERS</w:t>
      </w:r>
      <w:r w:rsidRPr="00753032">
        <w:rPr>
          <w:rFonts w:eastAsia="標楷體" w:hint="eastAsia"/>
          <w:kern w:val="3"/>
          <w:highlight w:val="yellow"/>
        </w:rPr>
        <w:t>給予重要演講。同時於本院師生亦須給予相關英文演講以及海報論文發表，共計</w:t>
      </w:r>
      <w:r w:rsidRPr="00753032">
        <w:rPr>
          <w:rFonts w:eastAsia="標楷體" w:hint="eastAsia"/>
          <w:kern w:val="3"/>
          <w:highlight w:val="yellow"/>
        </w:rPr>
        <w:t>70</w:t>
      </w:r>
      <w:r w:rsidRPr="00753032">
        <w:rPr>
          <w:rFonts w:eastAsia="標楷體" w:hint="eastAsia"/>
          <w:kern w:val="3"/>
          <w:highlight w:val="yellow"/>
        </w:rPr>
        <w:t>人參與含四國師生發表</w:t>
      </w:r>
      <w:r w:rsidRPr="00753032">
        <w:rPr>
          <w:rFonts w:eastAsia="標楷體" w:hint="eastAsia"/>
          <w:kern w:val="3"/>
          <w:highlight w:val="yellow"/>
        </w:rPr>
        <w:t>20</w:t>
      </w:r>
      <w:r w:rsidRPr="00753032">
        <w:rPr>
          <w:rFonts w:eastAsia="標楷體" w:hint="eastAsia"/>
          <w:kern w:val="3"/>
          <w:highlight w:val="yellow"/>
        </w:rPr>
        <w:t>篇論文並予以重要回饋</w:t>
      </w:r>
      <w:r w:rsidRPr="00753032">
        <w:rPr>
          <w:rFonts w:eastAsia="標楷體" w:hint="eastAsia"/>
          <w:kern w:val="3"/>
          <w:highlight w:val="yellow"/>
        </w:rPr>
        <w:t>(</w:t>
      </w:r>
      <w:r w:rsidRPr="00753032">
        <w:rPr>
          <w:rFonts w:eastAsia="標楷體" w:hint="eastAsia"/>
          <w:kern w:val="3"/>
          <w:highlight w:val="yellow"/>
        </w:rPr>
        <w:t>附錄十四</w:t>
      </w:r>
      <w:r w:rsidRPr="00753032">
        <w:rPr>
          <w:rFonts w:eastAsia="標楷體" w:hint="eastAsia"/>
          <w:kern w:val="3"/>
          <w:highlight w:val="yellow"/>
        </w:rPr>
        <w:t xml:space="preserve"> )</w:t>
      </w:r>
      <w:r w:rsidRPr="00753032">
        <w:rPr>
          <w:rFonts w:eastAsia="標楷體" w:hint="eastAsia"/>
          <w:kern w:val="3"/>
          <w:highlight w:val="yellow"/>
        </w:rPr>
        <w:t>。而本校申請人也於</w:t>
      </w:r>
      <w:r w:rsidRPr="00753032">
        <w:rPr>
          <w:rFonts w:eastAsia="標楷體" w:hint="eastAsia"/>
          <w:kern w:val="3"/>
          <w:highlight w:val="yellow"/>
        </w:rPr>
        <w:t>2</w:t>
      </w:r>
      <w:r w:rsidRPr="00753032">
        <w:rPr>
          <w:rFonts w:eastAsia="標楷體"/>
          <w:kern w:val="3"/>
          <w:highlight w:val="yellow"/>
        </w:rPr>
        <w:t>019-2024</w:t>
      </w:r>
      <w:r w:rsidRPr="00753032">
        <w:rPr>
          <w:rFonts w:eastAsia="標楷體" w:hint="eastAsia"/>
          <w:kern w:val="3"/>
          <w:highlight w:val="yellow"/>
        </w:rPr>
        <w:t>年於國際研討會</w:t>
      </w:r>
      <w:r w:rsidRPr="00753032">
        <w:rPr>
          <w:rFonts w:eastAsia="標楷體" w:hint="eastAsia"/>
          <w:kern w:val="3"/>
          <w:highlight w:val="yellow"/>
        </w:rPr>
        <w:t>(</w:t>
      </w:r>
      <w:r w:rsidRPr="00753032">
        <w:rPr>
          <w:rFonts w:eastAsia="標楷體"/>
          <w:kern w:val="3"/>
          <w:highlight w:val="yellow"/>
        </w:rPr>
        <w:t xml:space="preserve">The 13th IWA </w:t>
      </w:r>
      <w:proofErr w:type="spellStart"/>
      <w:r w:rsidRPr="00753032">
        <w:rPr>
          <w:rFonts w:eastAsia="標楷體"/>
          <w:kern w:val="3"/>
          <w:highlight w:val="yellow"/>
        </w:rPr>
        <w:t>Micropol</w:t>
      </w:r>
      <w:proofErr w:type="spellEnd"/>
      <w:r w:rsidRPr="00753032">
        <w:rPr>
          <w:rFonts w:eastAsia="標楷體"/>
          <w:kern w:val="3"/>
          <w:highlight w:val="yellow"/>
        </w:rPr>
        <w:t xml:space="preserve"> &amp; </w:t>
      </w:r>
      <w:proofErr w:type="spellStart"/>
      <w:r w:rsidRPr="00753032">
        <w:rPr>
          <w:rFonts w:eastAsia="標楷體"/>
          <w:kern w:val="3"/>
          <w:highlight w:val="yellow"/>
        </w:rPr>
        <w:t>Ecohazard</w:t>
      </w:r>
      <w:proofErr w:type="spellEnd"/>
      <w:r w:rsidRPr="00753032">
        <w:rPr>
          <w:rFonts w:eastAsia="標楷體"/>
          <w:kern w:val="3"/>
          <w:highlight w:val="yellow"/>
        </w:rPr>
        <w:t xml:space="preserve"> Conference (2024 </w:t>
      </w:r>
      <w:proofErr w:type="spellStart"/>
      <w:r w:rsidRPr="00753032">
        <w:rPr>
          <w:rFonts w:eastAsia="標楷體"/>
          <w:kern w:val="3"/>
          <w:highlight w:val="yellow"/>
        </w:rPr>
        <w:t>Micropol</w:t>
      </w:r>
      <w:proofErr w:type="spellEnd"/>
      <w:r w:rsidRPr="00753032">
        <w:rPr>
          <w:rFonts w:eastAsia="標楷體"/>
          <w:kern w:val="3"/>
          <w:highlight w:val="yellow"/>
        </w:rPr>
        <w:t>)</w:t>
      </w:r>
      <w:r w:rsidRPr="00753032">
        <w:rPr>
          <w:rFonts w:eastAsia="標楷體" w:hint="eastAsia"/>
          <w:kern w:val="3"/>
          <w:highlight w:val="yellow"/>
        </w:rPr>
        <w:t>、</w:t>
      </w:r>
      <w:r w:rsidRPr="00753032">
        <w:rPr>
          <w:rFonts w:eastAsia="標楷體" w:hint="eastAsia"/>
          <w:kern w:val="3"/>
          <w:highlight w:val="yellow"/>
        </w:rPr>
        <w:t>T</w:t>
      </w:r>
      <w:r w:rsidRPr="00753032">
        <w:rPr>
          <w:rFonts w:eastAsia="標楷體"/>
          <w:kern w:val="3"/>
          <w:highlight w:val="yellow"/>
        </w:rPr>
        <w:t>he 9th IWA-ASPIRE Conference &amp; Exhibition 2023</w:t>
      </w:r>
      <w:r w:rsidRPr="00753032">
        <w:rPr>
          <w:rFonts w:eastAsia="標楷體" w:hint="eastAsia"/>
          <w:kern w:val="3"/>
          <w:highlight w:val="yellow"/>
        </w:rPr>
        <w:t>、</w:t>
      </w:r>
      <w:r w:rsidRPr="00753032">
        <w:rPr>
          <w:rFonts w:eastAsia="標楷體"/>
          <w:kern w:val="3"/>
          <w:highlight w:val="yellow"/>
        </w:rPr>
        <w:t>The 12-16th International Conference Challenges in Environmental Science &amp; Engineering</w:t>
      </w:r>
      <w:r w:rsidRPr="00753032">
        <w:rPr>
          <w:rFonts w:eastAsia="標楷體" w:hint="eastAsia"/>
          <w:kern w:val="3"/>
          <w:highlight w:val="yellow"/>
        </w:rPr>
        <w:t>、</w:t>
      </w:r>
      <w:r w:rsidRPr="00753032">
        <w:rPr>
          <w:rFonts w:eastAsia="標楷體"/>
          <w:kern w:val="3"/>
          <w:highlight w:val="yellow"/>
        </w:rPr>
        <w:t>2019 International Symposium on Water and Sediments Quality)</w:t>
      </w:r>
      <w:r w:rsidRPr="00753032">
        <w:rPr>
          <w:rFonts w:eastAsia="標楷體" w:hint="eastAsia"/>
          <w:kern w:val="3"/>
          <w:highlight w:val="yellow"/>
        </w:rPr>
        <w:t>發表</w:t>
      </w:r>
      <w:r w:rsidRPr="00753032">
        <w:rPr>
          <w:rFonts w:eastAsia="標楷體" w:hint="eastAsia"/>
          <w:kern w:val="3"/>
          <w:highlight w:val="yellow"/>
        </w:rPr>
        <w:t>12</w:t>
      </w:r>
      <w:r w:rsidRPr="00753032">
        <w:rPr>
          <w:rFonts w:eastAsia="標楷體" w:hint="eastAsia"/>
          <w:kern w:val="3"/>
          <w:highlight w:val="yellow"/>
        </w:rPr>
        <w:t>篇論文，以大會主講人、口頭、海報等方式將環保相關研究在國際上展現。</w:t>
      </w:r>
    </w:p>
    <w:p w:rsidR="00615DD7" w:rsidRPr="00753032" w:rsidRDefault="00005764" w:rsidP="00005764">
      <w:pPr>
        <w:suppressAutoHyphens/>
        <w:autoSpaceDN w:val="0"/>
        <w:spacing w:line="360" w:lineRule="exact"/>
        <w:ind w:left="737" w:firstLineChars="165" w:firstLine="396"/>
        <w:jc w:val="both"/>
        <w:textAlignment w:val="baseline"/>
        <w:rPr>
          <w:rFonts w:eastAsia="標楷體"/>
          <w:kern w:val="3"/>
          <w:highlight w:val="yellow"/>
        </w:rPr>
      </w:pPr>
      <w:r w:rsidRPr="00753032">
        <w:rPr>
          <w:rFonts w:eastAsia="標楷體" w:hint="eastAsia"/>
          <w:kern w:val="3"/>
          <w:highlight w:val="yellow"/>
        </w:rPr>
        <w:t>除透過獎勵方式留才外，也邀請具有國際知名度或卓越成就的國內外學者，以座談及講演方式蒞校指導發展，甚至進行短期講學，與校內人才進行實質性交流，以強化本校在本議題上之研發競爭力。</w:t>
      </w:r>
      <w:proofErr w:type="gramStart"/>
      <w:r w:rsidRPr="00753032">
        <w:rPr>
          <w:rFonts w:eastAsia="標楷體" w:hint="eastAsia"/>
          <w:kern w:val="3"/>
          <w:highlight w:val="yellow"/>
        </w:rPr>
        <w:t>此外，</w:t>
      </w:r>
      <w:proofErr w:type="gramEnd"/>
      <w:r w:rsidRPr="00753032">
        <w:rPr>
          <w:rFonts w:eastAsia="標楷體" w:hint="eastAsia"/>
          <w:kern w:val="3"/>
          <w:highlight w:val="yellow"/>
        </w:rPr>
        <w:t>依據行政院會通過「國家發展計畫</w:t>
      </w:r>
      <w:r w:rsidRPr="00753032">
        <w:rPr>
          <w:rFonts w:eastAsia="標楷體" w:hint="eastAsia"/>
          <w:kern w:val="3"/>
          <w:highlight w:val="yellow"/>
        </w:rPr>
        <w:t>(110</w:t>
      </w:r>
      <w:r w:rsidRPr="00753032">
        <w:rPr>
          <w:rFonts w:eastAsia="標楷體" w:hint="eastAsia"/>
          <w:kern w:val="3"/>
          <w:highlight w:val="yellow"/>
        </w:rPr>
        <w:t>至</w:t>
      </w:r>
      <w:r w:rsidRPr="00753032">
        <w:rPr>
          <w:rFonts w:eastAsia="標楷體" w:hint="eastAsia"/>
          <w:kern w:val="3"/>
          <w:highlight w:val="yellow"/>
        </w:rPr>
        <w:t>113</w:t>
      </w:r>
      <w:r w:rsidRPr="00753032">
        <w:rPr>
          <w:rFonts w:eastAsia="標楷體" w:hint="eastAsia"/>
          <w:kern w:val="3"/>
          <w:highlight w:val="yellow"/>
        </w:rPr>
        <w:t>年</w:t>
      </w:r>
      <w:r w:rsidRPr="00753032">
        <w:rPr>
          <w:rFonts w:eastAsia="標楷體" w:hint="eastAsia"/>
          <w:kern w:val="3"/>
          <w:highlight w:val="yellow"/>
        </w:rPr>
        <w:t>)</w:t>
      </w:r>
      <w:r w:rsidRPr="00753032">
        <w:rPr>
          <w:rFonts w:eastAsia="標楷體" w:hint="eastAsia"/>
          <w:kern w:val="3"/>
          <w:highlight w:val="yellow"/>
        </w:rPr>
        <w:t>」中所提及之六大核心戰略產業之一，</w:t>
      </w:r>
      <w:proofErr w:type="gramStart"/>
      <w:r w:rsidRPr="00753032">
        <w:rPr>
          <w:rFonts w:eastAsia="標楷體" w:hint="eastAsia"/>
          <w:kern w:val="3"/>
          <w:highlight w:val="yellow"/>
        </w:rPr>
        <w:t>包含綠電</w:t>
      </w:r>
      <w:proofErr w:type="gramEnd"/>
      <w:r w:rsidRPr="00753032">
        <w:rPr>
          <w:rFonts w:eastAsia="標楷體" w:hint="eastAsia"/>
          <w:kern w:val="3"/>
          <w:highlight w:val="yellow"/>
        </w:rPr>
        <w:t>及再生能源產業，與聯合國所公布之聯合國永續發展目標</w:t>
      </w:r>
      <w:r w:rsidRPr="00753032">
        <w:rPr>
          <w:rFonts w:eastAsia="標楷體" w:hint="eastAsia"/>
          <w:kern w:val="3"/>
          <w:highlight w:val="yellow"/>
        </w:rPr>
        <w:t>(SDGs)</w:t>
      </w:r>
      <w:r w:rsidRPr="00753032">
        <w:rPr>
          <w:rFonts w:eastAsia="標楷體" w:hint="eastAsia"/>
          <w:kern w:val="3"/>
          <w:highlight w:val="yellow"/>
        </w:rPr>
        <w:t>中之第七項「確保所有的人都可取得負擔得起、可靠的、永</w:t>
      </w:r>
      <w:r w:rsidRPr="00753032">
        <w:rPr>
          <w:rFonts w:eastAsia="標楷體" w:hint="eastAsia"/>
          <w:kern w:val="3"/>
          <w:highlight w:val="yellow"/>
        </w:rPr>
        <w:lastRenderedPageBreak/>
        <w:t>續的，及現代的能源」不謀而合，本校朝向政府之重點發展計畫銜接國際趨勢，透過產學合作與業界接軌，邀請業界專家學者共同集思廣益，藉由專案計畫延攬相關研究人才，強化與鞏固本校研究量能。</w:t>
      </w:r>
    </w:p>
    <w:p w:rsidR="00005764" w:rsidRPr="00753032" w:rsidRDefault="00B31274" w:rsidP="00005764">
      <w:pPr>
        <w:suppressAutoHyphens/>
        <w:autoSpaceDN w:val="0"/>
        <w:spacing w:line="360" w:lineRule="exact"/>
        <w:ind w:left="737" w:firstLineChars="165" w:firstLine="396"/>
        <w:jc w:val="both"/>
        <w:textAlignment w:val="baseline"/>
        <w:rPr>
          <w:rFonts w:ascii="微軟正黑體" w:eastAsia="微軟正黑體" w:hAnsi="微軟正黑體" w:cs="新細明體"/>
          <w:kern w:val="0"/>
          <w:sz w:val="23"/>
          <w:szCs w:val="23"/>
          <w:highlight w:val="yellow"/>
        </w:rPr>
      </w:pPr>
      <w:r w:rsidRPr="00753032">
        <w:rPr>
          <w:rFonts w:eastAsia="標楷體" w:hint="eastAsia"/>
          <w:kern w:val="3"/>
          <w:highlight w:val="yellow"/>
        </w:rPr>
        <w:t>依據</w:t>
      </w:r>
      <w:r w:rsidRPr="00753032">
        <w:rPr>
          <w:rFonts w:eastAsia="標楷體" w:hint="eastAsia"/>
          <w:kern w:val="3"/>
          <w:highlight w:val="yellow"/>
        </w:rPr>
        <w:t>2018</w:t>
      </w:r>
      <w:r w:rsidRPr="00753032">
        <w:rPr>
          <w:rFonts w:eastAsia="標楷體" w:hint="eastAsia"/>
          <w:kern w:val="3"/>
          <w:highlight w:val="yellow"/>
        </w:rPr>
        <w:t>年</w:t>
      </w:r>
      <w:r w:rsidRPr="00753032">
        <w:rPr>
          <w:rFonts w:eastAsia="標楷體"/>
          <w:kern w:val="3"/>
          <w:highlight w:val="yellow"/>
        </w:rPr>
        <w:t>IPCC</w:t>
      </w:r>
      <w:r w:rsidRPr="00753032">
        <w:rPr>
          <w:rFonts w:eastAsia="標楷體" w:hint="eastAsia"/>
          <w:kern w:val="3"/>
          <w:highlight w:val="yellow"/>
        </w:rPr>
        <w:t>全球升溫</w:t>
      </w:r>
      <w:r w:rsidRPr="00753032">
        <w:rPr>
          <w:rFonts w:eastAsia="標楷體" w:hint="eastAsia"/>
          <w:kern w:val="3"/>
          <w:highlight w:val="yellow"/>
        </w:rPr>
        <w:t>1.5</w:t>
      </w:r>
      <w:r w:rsidRPr="00753032">
        <w:rPr>
          <w:rFonts w:eastAsia="標楷體"/>
          <w:kern w:val="3"/>
          <w:highlight w:val="yellow"/>
          <w:vertAlign w:val="superscript"/>
        </w:rPr>
        <w:t>o</w:t>
      </w:r>
      <w:r w:rsidRPr="00753032">
        <w:rPr>
          <w:rFonts w:eastAsia="標楷體"/>
          <w:kern w:val="3"/>
          <w:highlight w:val="yellow"/>
        </w:rPr>
        <w:t>C</w:t>
      </w:r>
      <w:r w:rsidRPr="00753032">
        <w:rPr>
          <w:rFonts w:eastAsia="標楷體" w:hint="eastAsia"/>
          <w:kern w:val="3"/>
          <w:highlight w:val="yellow"/>
        </w:rPr>
        <w:t>特別報告中，建立全球應採取的行動準則「</w:t>
      </w:r>
      <w:r w:rsidRPr="00753032">
        <w:rPr>
          <w:rFonts w:eastAsia="標楷體" w:hint="eastAsia"/>
          <w:kern w:val="3"/>
          <w:highlight w:val="yellow"/>
        </w:rPr>
        <w:t>2030</w:t>
      </w:r>
      <w:r w:rsidRPr="00753032">
        <w:rPr>
          <w:rFonts w:eastAsia="標楷體" w:hint="eastAsia"/>
          <w:kern w:val="3"/>
          <w:highlight w:val="yellow"/>
        </w:rPr>
        <w:t>年前全球碳排放量需減半，並最晚於</w:t>
      </w:r>
      <w:r w:rsidRPr="00753032">
        <w:rPr>
          <w:rFonts w:eastAsia="標楷體" w:hint="eastAsia"/>
          <w:kern w:val="3"/>
          <w:highlight w:val="yellow"/>
        </w:rPr>
        <w:t>2050</w:t>
      </w:r>
      <w:r w:rsidRPr="00753032">
        <w:rPr>
          <w:rFonts w:eastAsia="標楷體" w:hint="eastAsia"/>
          <w:kern w:val="3"/>
          <w:highlight w:val="yellow"/>
        </w:rPr>
        <w:t>年須</w:t>
      </w:r>
      <w:proofErr w:type="gramStart"/>
      <w:r w:rsidRPr="00753032">
        <w:rPr>
          <w:rFonts w:eastAsia="標楷體" w:hint="eastAsia"/>
          <w:kern w:val="3"/>
          <w:highlight w:val="yellow"/>
        </w:rPr>
        <w:t>達淨零碳排</w:t>
      </w:r>
      <w:proofErr w:type="gramEnd"/>
      <w:r w:rsidRPr="00753032">
        <w:rPr>
          <w:rFonts w:eastAsia="標楷體" w:hint="eastAsia"/>
          <w:kern w:val="3"/>
          <w:highlight w:val="yellow"/>
        </w:rPr>
        <w:t>之目標」，因此政府逐步也朝向相關議題邁進，並設立相關碳盤查機制與審核機制，此亦為環境保護重要議題，本科系亦逐步加入相關碳盤查概念之教學與研究，並配合產業發展結合業界專業師資，更新最新相關議題之發展，並透過協同教學以及產學合作延攬研究人才，提升研究量能與教學品質。</w:t>
      </w:r>
      <w:proofErr w:type="gramStart"/>
      <w:r w:rsidR="00005764" w:rsidRPr="00753032">
        <w:rPr>
          <w:rFonts w:eastAsia="標楷體" w:hint="eastAsia"/>
          <w:kern w:val="3"/>
          <w:highlight w:val="yellow"/>
        </w:rPr>
        <w:t>此外，</w:t>
      </w:r>
      <w:proofErr w:type="gramEnd"/>
      <w:r w:rsidR="00005764" w:rsidRPr="00753032">
        <w:rPr>
          <w:rFonts w:eastAsia="標楷體" w:hint="eastAsia"/>
          <w:kern w:val="3"/>
          <w:highlight w:val="yellow"/>
        </w:rPr>
        <w:t>近年來再生能源亦為國家發展之重點，而環境工程領域中之循環經濟與再生能源發展息息相關，再生能源發展過程所可能衍生之問題</w:t>
      </w:r>
      <w:r w:rsidR="00005764" w:rsidRPr="00753032">
        <w:rPr>
          <w:rFonts w:eastAsia="標楷體" w:hint="eastAsia"/>
          <w:kern w:val="3"/>
          <w:highlight w:val="yellow"/>
        </w:rPr>
        <w:t>(</w:t>
      </w:r>
      <w:r w:rsidR="00005764" w:rsidRPr="00753032">
        <w:rPr>
          <w:rFonts w:eastAsia="標楷體" w:hint="eastAsia"/>
          <w:kern w:val="3"/>
          <w:highlight w:val="yellow"/>
        </w:rPr>
        <w:t>例如：太陽能板廢棄後之處理</w:t>
      </w:r>
      <w:r w:rsidR="00005764" w:rsidRPr="00753032">
        <w:rPr>
          <w:rFonts w:eastAsia="標楷體" w:hint="eastAsia"/>
          <w:kern w:val="3"/>
          <w:highlight w:val="yellow"/>
        </w:rPr>
        <w:t>)</w:t>
      </w:r>
      <w:r w:rsidR="00005764" w:rsidRPr="00753032">
        <w:rPr>
          <w:rFonts w:eastAsia="標楷體" w:hint="eastAsia"/>
          <w:kern w:val="3"/>
          <w:highlight w:val="yellow"/>
        </w:rPr>
        <w:t>，亦值得細心探究，若能將再生能源結合循環經濟之概念，並與產業界合作研究，亦可有效延攬及培育研究人才。</w:t>
      </w:r>
    </w:p>
    <w:p w:rsidR="00615DD7" w:rsidRPr="00753032" w:rsidRDefault="00615DD7" w:rsidP="00615DD7">
      <w:pPr>
        <w:suppressAutoHyphens/>
        <w:autoSpaceDN w:val="0"/>
        <w:spacing w:line="360" w:lineRule="exact"/>
        <w:ind w:left="737" w:firstLineChars="165" w:firstLine="396"/>
        <w:jc w:val="both"/>
        <w:textAlignment w:val="baseline"/>
        <w:rPr>
          <w:rFonts w:ascii="標楷體" w:eastAsia="標楷體" w:hAnsi="標楷體"/>
          <w:kern w:val="3"/>
          <w:highlight w:val="yellow"/>
        </w:rPr>
      </w:pPr>
      <w:r w:rsidRPr="00753032">
        <w:rPr>
          <w:rFonts w:ascii="標楷體" w:eastAsia="標楷體" w:hAnsi="標楷體" w:hint="eastAsia"/>
          <w:kern w:val="3"/>
          <w:highlight w:val="yellow"/>
        </w:rPr>
        <w:t>以護理界現況，臨床護理人力短缺問題更是國內、外皆然。以業界觀點而論，護理專業教師宜致力於教學與臨床整合。因此，實證護理與跨領域結合是當今急迫之要務，然研究級護理教職人員嚴重缺乏，未來將加強延攬該專長之研究人才，強化本校該領域之研發能量。目前護理界國際研究大致上可分為社區、內外科、兒科、產科、精神等五大領域；但目前社會現況，高齡化</w:t>
      </w:r>
      <w:proofErr w:type="gramStart"/>
      <w:r w:rsidRPr="00753032">
        <w:rPr>
          <w:rFonts w:ascii="標楷體" w:eastAsia="標楷體" w:hAnsi="標楷體" w:hint="eastAsia"/>
          <w:kern w:val="3"/>
          <w:highlight w:val="yellow"/>
        </w:rPr>
        <w:t>與少子化</w:t>
      </w:r>
      <w:proofErr w:type="gramEnd"/>
      <w:r w:rsidRPr="00753032">
        <w:rPr>
          <w:rFonts w:ascii="標楷體" w:eastAsia="標楷體" w:hAnsi="標楷體" w:hint="eastAsia"/>
          <w:kern w:val="3"/>
          <w:highlight w:val="yellow"/>
        </w:rPr>
        <w:t>是舉世面臨的問題，例如：產科、兒科及社區與長期照顧領域的研究更為重要，</w:t>
      </w:r>
      <w:proofErr w:type="gramStart"/>
      <w:r w:rsidRPr="00753032">
        <w:rPr>
          <w:rFonts w:ascii="標楷體" w:eastAsia="標楷體" w:hAnsi="標楷體" w:hint="eastAsia"/>
          <w:kern w:val="3"/>
          <w:highlight w:val="yellow"/>
        </w:rPr>
        <w:t>此外，</w:t>
      </w:r>
      <w:proofErr w:type="gramEnd"/>
      <w:r w:rsidRPr="00753032">
        <w:rPr>
          <w:rFonts w:ascii="標楷體" w:eastAsia="標楷體" w:hAnsi="標楷體" w:hint="eastAsia"/>
          <w:kern w:val="3"/>
          <w:highlight w:val="yellow"/>
        </w:rPr>
        <w:t>智慧照護醫療在人力緊縮的未來，亦為勢必發展的趨勢，結合人工智慧與跨領域的照護與健康促進之人才延攬，才能增加社會的生產力與增進國家的競爭力，故未來將加強延攬該領域專長之研究人才，基於本校已有之研究資源，強化本校該領域之研發產能。</w:t>
      </w:r>
    </w:p>
    <w:p w:rsidR="00615DD7" w:rsidRPr="00005764" w:rsidRDefault="00615DD7" w:rsidP="00615DD7">
      <w:pPr>
        <w:suppressAutoHyphens/>
        <w:autoSpaceDN w:val="0"/>
        <w:spacing w:line="360" w:lineRule="exact"/>
        <w:ind w:left="737" w:firstLineChars="165" w:firstLine="396"/>
        <w:jc w:val="both"/>
        <w:textAlignment w:val="baseline"/>
        <w:rPr>
          <w:rFonts w:ascii="標楷體" w:eastAsia="標楷體" w:hAnsi="標楷體"/>
          <w:kern w:val="3"/>
        </w:rPr>
      </w:pPr>
      <w:r w:rsidRPr="00753032">
        <w:rPr>
          <w:rFonts w:ascii="標楷體" w:eastAsia="標楷體" w:hAnsi="標楷體" w:hint="eastAsia"/>
          <w:kern w:val="3"/>
          <w:highlight w:val="yellow"/>
        </w:rPr>
        <w:t>隨著科技日新月異與生技醫藥的蓬勃發展，社會大眾對健康的觀念已從疾病的治療，擴展到預防醫學、分子診斷與檢測、導入人工智慧的精</w:t>
      </w:r>
      <w:proofErr w:type="gramStart"/>
      <w:r w:rsidRPr="00753032">
        <w:rPr>
          <w:rFonts w:ascii="標楷體" w:eastAsia="標楷體" w:hAnsi="標楷體" w:hint="eastAsia"/>
          <w:kern w:val="3"/>
          <w:highlight w:val="yellow"/>
        </w:rPr>
        <w:t>準</w:t>
      </w:r>
      <w:proofErr w:type="gramEnd"/>
      <w:r w:rsidRPr="00753032">
        <w:rPr>
          <w:rFonts w:ascii="標楷體" w:eastAsia="標楷體" w:hAnsi="標楷體" w:hint="eastAsia"/>
          <w:kern w:val="3"/>
          <w:highlight w:val="yellow"/>
        </w:rPr>
        <w:t>醫療、數位醫療等各種面向。而這些主流發展趨勢，也將是未來台灣生</w:t>
      </w:r>
      <w:proofErr w:type="gramStart"/>
      <w:r w:rsidRPr="00753032">
        <w:rPr>
          <w:rFonts w:ascii="標楷體" w:eastAsia="標楷體" w:hAnsi="標楷體" w:hint="eastAsia"/>
          <w:kern w:val="3"/>
          <w:highlight w:val="yellow"/>
        </w:rPr>
        <w:t>醫</w:t>
      </w:r>
      <w:proofErr w:type="gramEnd"/>
      <w:r w:rsidRPr="00753032">
        <w:rPr>
          <w:rFonts w:ascii="標楷體" w:eastAsia="標楷體" w:hAnsi="標楷體" w:hint="eastAsia"/>
          <w:kern w:val="3"/>
          <w:highlight w:val="yellow"/>
        </w:rPr>
        <w:t>產業的重點領域。本校人才培育目標之</w:t>
      </w:r>
      <w:proofErr w:type="gramStart"/>
      <w:r w:rsidRPr="00753032">
        <w:rPr>
          <w:rFonts w:ascii="標楷體" w:eastAsia="標楷體" w:hAnsi="標楷體" w:hint="eastAsia"/>
          <w:kern w:val="3"/>
          <w:highlight w:val="yellow"/>
        </w:rPr>
        <w:t>一就是為符</w:t>
      </w:r>
      <w:proofErr w:type="gramEnd"/>
      <w:r w:rsidRPr="00753032">
        <w:rPr>
          <w:rFonts w:ascii="標楷體" w:eastAsia="標楷體" w:hAnsi="標楷體" w:hint="eastAsia"/>
          <w:kern w:val="3"/>
          <w:highlight w:val="yellow"/>
        </w:rPr>
        <w:t>應上述台灣之生醫產業發展趨勢，培育業界所需之專業人才，增進國人健康福祉，並促使台灣接軌國際邁入數位、精準、大數據醫療等高科技領域。在學校的研究，應儘量與產業界密切合作，如此可創造學生就業機會，提升學生競爭力，若學生畢業後能將技術與創新帶出去，將實驗室所發展的成果幫助產業升級。在加上業界公司的通路及行銷能力結合，則可以將好的想法轉化成實際產品，也期望未來研發結果能夠走入臨床或對及時床邊醫療診斷有幫助。</w:t>
      </w:r>
      <w:bookmarkStart w:id="0" w:name="_GoBack"/>
      <w:bookmarkEnd w:id="0"/>
    </w:p>
    <w:p w:rsidR="00615DD7" w:rsidRPr="001210C8" w:rsidRDefault="00615DD7" w:rsidP="00615DD7">
      <w:pPr>
        <w:numPr>
          <w:ilvl w:val="5"/>
          <w:numId w:val="7"/>
        </w:numPr>
        <w:suppressAutoHyphens/>
        <w:autoSpaceDN w:val="0"/>
        <w:spacing w:before="240" w:line="360" w:lineRule="exact"/>
        <w:jc w:val="both"/>
        <w:textAlignment w:val="baseline"/>
        <w:rPr>
          <w:rFonts w:eastAsia="標楷體"/>
          <w:bCs/>
          <w:kern w:val="3"/>
          <w:szCs w:val="28"/>
        </w:rPr>
      </w:pPr>
      <w:r w:rsidRPr="001210C8">
        <w:rPr>
          <w:rFonts w:eastAsia="標楷體" w:hint="eastAsia"/>
          <w:bCs/>
          <w:kern w:val="3"/>
          <w:szCs w:val="28"/>
        </w:rPr>
        <w:t>對新進人員所提供之長期研究支援。</w:t>
      </w:r>
    </w:p>
    <w:p w:rsidR="00615DD7" w:rsidRPr="00430690" w:rsidRDefault="00615DD7" w:rsidP="00615DD7">
      <w:pPr>
        <w:suppressAutoHyphens/>
        <w:autoSpaceDN w:val="0"/>
        <w:spacing w:line="360" w:lineRule="exact"/>
        <w:ind w:leftChars="289" w:left="1275" w:hangingChars="242" w:hanging="581"/>
        <w:jc w:val="both"/>
        <w:textAlignment w:val="baseline"/>
        <w:rPr>
          <w:rFonts w:eastAsia="標楷體"/>
          <w:bCs/>
          <w:kern w:val="3"/>
          <w:szCs w:val="28"/>
        </w:rPr>
      </w:pPr>
      <w:r w:rsidRPr="00430690">
        <w:rPr>
          <w:rFonts w:eastAsia="標楷體" w:hint="eastAsia"/>
          <w:bCs/>
          <w:kern w:val="3"/>
          <w:szCs w:val="28"/>
        </w:rPr>
        <w:t>1.</w:t>
      </w:r>
      <w:r w:rsidRPr="00430690">
        <w:rPr>
          <w:rFonts w:eastAsia="標楷體" w:hint="eastAsia"/>
          <w:bCs/>
          <w:kern w:val="3"/>
          <w:szCs w:val="28"/>
        </w:rPr>
        <w:t>支持新進人員申請多年期</w:t>
      </w:r>
      <w:r w:rsidR="00DD31F5" w:rsidRPr="00430690">
        <w:rPr>
          <w:rFonts w:eastAsia="標楷體" w:hint="eastAsia"/>
          <w:bCs/>
          <w:kern w:val="3"/>
          <w:szCs w:val="28"/>
        </w:rPr>
        <w:t>國科會</w:t>
      </w:r>
      <w:r w:rsidRPr="00430690">
        <w:rPr>
          <w:rFonts w:eastAsia="標楷體" w:hint="eastAsia"/>
          <w:bCs/>
          <w:kern w:val="3"/>
          <w:szCs w:val="28"/>
        </w:rPr>
        <w:t>計畫。</w:t>
      </w:r>
    </w:p>
    <w:p w:rsidR="00615DD7" w:rsidRPr="00430690" w:rsidRDefault="00615DD7" w:rsidP="00615DD7">
      <w:pPr>
        <w:suppressAutoHyphens/>
        <w:autoSpaceDN w:val="0"/>
        <w:spacing w:line="360" w:lineRule="exact"/>
        <w:ind w:leftChars="289" w:left="1275" w:hangingChars="242" w:hanging="581"/>
        <w:jc w:val="both"/>
        <w:textAlignment w:val="baseline"/>
        <w:rPr>
          <w:rFonts w:eastAsia="標楷體"/>
          <w:bCs/>
          <w:kern w:val="3"/>
          <w:szCs w:val="28"/>
        </w:rPr>
      </w:pPr>
      <w:r w:rsidRPr="00430690">
        <w:rPr>
          <w:rFonts w:eastAsia="標楷體" w:hint="eastAsia"/>
          <w:bCs/>
          <w:kern w:val="3"/>
          <w:szCs w:val="28"/>
        </w:rPr>
        <w:t>2.</w:t>
      </w:r>
      <w:r w:rsidRPr="00430690">
        <w:rPr>
          <w:rFonts w:eastAsia="標楷體" w:hint="eastAsia"/>
          <w:bCs/>
          <w:kern w:val="3"/>
          <w:szCs w:val="28"/>
        </w:rPr>
        <w:t>規劃專屬的獨立研究室，提供教師教學外的研究空間，減少受到外在環境的干擾。</w:t>
      </w:r>
    </w:p>
    <w:p w:rsidR="00615DD7" w:rsidRPr="00430690" w:rsidRDefault="00615DD7" w:rsidP="00615DD7">
      <w:pPr>
        <w:suppressAutoHyphens/>
        <w:autoSpaceDN w:val="0"/>
        <w:spacing w:line="360" w:lineRule="exact"/>
        <w:ind w:leftChars="295" w:left="847" w:hangingChars="58" w:hanging="139"/>
        <w:textAlignment w:val="baseline"/>
        <w:rPr>
          <w:rFonts w:eastAsia="標楷體"/>
          <w:bCs/>
          <w:kern w:val="3"/>
          <w:szCs w:val="28"/>
        </w:rPr>
      </w:pPr>
      <w:r w:rsidRPr="00430690">
        <w:rPr>
          <w:rFonts w:eastAsia="標楷體" w:hint="eastAsia"/>
          <w:bCs/>
          <w:kern w:val="3"/>
          <w:szCs w:val="28"/>
        </w:rPr>
        <w:t>3.</w:t>
      </w:r>
      <w:r w:rsidRPr="00430690">
        <w:rPr>
          <w:rFonts w:eastAsia="標楷體" w:hint="eastAsia"/>
          <w:bCs/>
          <w:kern w:val="3"/>
          <w:szCs w:val="28"/>
        </w:rPr>
        <w:t>優先補助新進人員參與國內外研究相關之研習會，並給予公假，以增進研究上的成長。</w:t>
      </w:r>
    </w:p>
    <w:p w:rsidR="00615DD7" w:rsidRPr="00430690" w:rsidRDefault="00615DD7" w:rsidP="00615DD7">
      <w:pPr>
        <w:suppressAutoHyphens/>
        <w:autoSpaceDN w:val="0"/>
        <w:spacing w:line="360" w:lineRule="exact"/>
        <w:ind w:leftChars="295" w:left="847" w:hangingChars="58" w:hanging="139"/>
        <w:textAlignment w:val="baseline"/>
        <w:rPr>
          <w:rFonts w:eastAsia="標楷體"/>
          <w:bCs/>
          <w:kern w:val="3"/>
          <w:szCs w:val="28"/>
        </w:rPr>
      </w:pPr>
      <w:r w:rsidRPr="00430690">
        <w:rPr>
          <w:rFonts w:eastAsia="標楷體" w:hint="eastAsia"/>
          <w:bCs/>
          <w:kern w:val="3"/>
          <w:szCs w:val="28"/>
        </w:rPr>
        <w:t>4.</w:t>
      </w:r>
      <w:r w:rsidRPr="00430690">
        <w:rPr>
          <w:rFonts w:eastAsia="標楷體" w:hint="eastAsia"/>
          <w:bCs/>
          <w:kern w:val="3"/>
          <w:szCs w:val="28"/>
        </w:rPr>
        <w:t>提供研究及教學的人力、設備、經驗等軟硬體支援。發揮母雞帶小雞的精神，協助共同指導學生、進行產學研究合作計畫、國內外研討會論文發表、期刊撰寫發表、</w:t>
      </w:r>
      <w:r w:rsidR="00DD31F5" w:rsidRPr="00430690">
        <w:rPr>
          <w:rFonts w:eastAsia="標楷體" w:hint="eastAsia"/>
          <w:bCs/>
          <w:kern w:val="3"/>
          <w:szCs w:val="28"/>
        </w:rPr>
        <w:t>國科會</w:t>
      </w:r>
      <w:r w:rsidRPr="00430690">
        <w:rPr>
          <w:rFonts w:eastAsia="標楷體" w:hint="eastAsia"/>
          <w:bCs/>
          <w:kern w:val="3"/>
          <w:szCs w:val="28"/>
        </w:rPr>
        <w:t>專題研究計畫及大專生</w:t>
      </w:r>
      <w:r w:rsidR="00DD31F5" w:rsidRPr="00430690">
        <w:rPr>
          <w:rFonts w:eastAsia="標楷體" w:hint="eastAsia"/>
          <w:bCs/>
          <w:kern w:val="3"/>
          <w:szCs w:val="28"/>
        </w:rPr>
        <w:t>國科會</w:t>
      </w:r>
      <w:r w:rsidRPr="00430690">
        <w:rPr>
          <w:rFonts w:eastAsia="標楷體" w:hint="eastAsia"/>
          <w:bCs/>
          <w:kern w:val="3"/>
          <w:szCs w:val="28"/>
        </w:rPr>
        <w:t>計畫等申請協助。</w:t>
      </w:r>
    </w:p>
    <w:p w:rsidR="00615DD7" w:rsidRPr="00430690" w:rsidRDefault="00615DD7" w:rsidP="00615DD7">
      <w:pPr>
        <w:suppressAutoHyphens/>
        <w:autoSpaceDN w:val="0"/>
        <w:spacing w:line="360" w:lineRule="exact"/>
        <w:ind w:leftChars="295" w:left="847" w:hangingChars="58" w:hanging="139"/>
        <w:textAlignment w:val="baseline"/>
        <w:rPr>
          <w:rFonts w:eastAsia="標楷體"/>
          <w:bCs/>
          <w:kern w:val="3"/>
          <w:szCs w:val="28"/>
        </w:rPr>
      </w:pPr>
      <w:r w:rsidRPr="00430690">
        <w:rPr>
          <w:rFonts w:eastAsia="標楷體" w:hint="eastAsia"/>
          <w:bCs/>
          <w:kern w:val="3"/>
          <w:szCs w:val="28"/>
        </w:rPr>
        <w:lastRenderedPageBreak/>
        <w:t>5.</w:t>
      </w:r>
      <w:r w:rsidRPr="00430690">
        <w:rPr>
          <w:rFonts w:eastAsia="標楷體" w:hint="eastAsia"/>
          <w:bCs/>
          <w:kern w:val="3"/>
          <w:szCs w:val="28"/>
        </w:rPr>
        <w:t>系內依據教師專業與興趣不同組成數個研究小組，新進人員依其專長擇定小組，藉由同儕力量相互提供學術上之支援，使新進人員能延續其研發能量。</w:t>
      </w:r>
    </w:p>
    <w:p w:rsidR="00615DD7" w:rsidRPr="00430690" w:rsidRDefault="00615DD7" w:rsidP="00615DD7">
      <w:pPr>
        <w:suppressAutoHyphens/>
        <w:autoSpaceDN w:val="0"/>
        <w:spacing w:line="360" w:lineRule="exact"/>
        <w:ind w:leftChars="295" w:left="847" w:hangingChars="58" w:hanging="139"/>
        <w:textAlignment w:val="baseline"/>
        <w:rPr>
          <w:rFonts w:eastAsia="標楷體"/>
          <w:bCs/>
          <w:kern w:val="3"/>
          <w:szCs w:val="28"/>
        </w:rPr>
      </w:pPr>
      <w:r w:rsidRPr="00430690">
        <w:rPr>
          <w:rFonts w:eastAsia="標楷體" w:hint="eastAsia"/>
          <w:bCs/>
          <w:kern w:val="3"/>
          <w:szCs w:val="28"/>
        </w:rPr>
        <w:t>6.</w:t>
      </w:r>
      <w:r w:rsidRPr="00430690">
        <w:rPr>
          <w:rFonts w:eastAsia="標楷體" w:hint="eastAsia"/>
          <w:bCs/>
          <w:kern w:val="3"/>
          <w:szCs w:val="28"/>
        </w:rPr>
        <w:t>對於新進申請</w:t>
      </w:r>
      <w:r w:rsidR="00DD31F5" w:rsidRPr="00430690">
        <w:rPr>
          <w:rFonts w:eastAsia="標楷體" w:hint="eastAsia"/>
          <w:bCs/>
          <w:kern w:val="3"/>
          <w:szCs w:val="28"/>
        </w:rPr>
        <w:t>國科會</w:t>
      </w:r>
      <w:r w:rsidRPr="00430690">
        <w:rPr>
          <w:rFonts w:eastAsia="標楷體" w:hint="eastAsia"/>
          <w:bCs/>
          <w:kern w:val="3"/>
          <w:szCs w:val="28"/>
        </w:rPr>
        <w:t>計畫之同仁，若當年計畫未能申請通過，提供校內種子研究經費，協助其完成初步先期研究，增加其申請計畫通過之機會。</w:t>
      </w:r>
    </w:p>
    <w:p w:rsidR="00615DD7" w:rsidRPr="00430690" w:rsidRDefault="00615DD7" w:rsidP="00615DD7">
      <w:pPr>
        <w:suppressAutoHyphens/>
        <w:autoSpaceDN w:val="0"/>
        <w:spacing w:line="360" w:lineRule="exact"/>
        <w:ind w:leftChars="295" w:left="847" w:hangingChars="58" w:hanging="139"/>
        <w:textAlignment w:val="baseline"/>
        <w:rPr>
          <w:rFonts w:eastAsia="標楷體"/>
          <w:bCs/>
          <w:kern w:val="3"/>
          <w:szCs w:val="28"/>
        </w:rPr>
      </w:pPr>
      <w:r w:rsidRPr="00430690">
        <w:rPr>
          <w:rFonts w:eastAsia="標楷體" w:hint="eastAsia"/>
          <w:bCs/>
          <w:kern w:val="3"/>
          <w:szCs w:val="28"/>
        </w:rPr>
        <w:t>7.</w:t>
      </w:r>
      <w:r w:rsidRPr="00430690">
        <w:rPr>
          <w:rFonts w:eastAsia="標楷體"/>
          <w:bCs/>
          <w:kern w:val="3"/>
          <w:szCs w:val="28"/>
        </w:rPr>
        <w:t>指派</w:t>
      </w:r>
      <w:r w:rsidRPr="00430690">
        <w:rPr>
          <w:rFonts w:eastAsia="標楷體" w:hint="eastAsia"/>
          <w:bCs/>
          <w:kern w:val="3"/>
          <w:szCs w:val="28"/>
        </w:rPr>
        <w:t>資深引領者為</w:t>
      </w:r>
      <w:r w:rsidRPr="00430690">
        <w:rPr>
          <w:rFonts w:eastAsia="標楷體"/>
          <w:bCs/>
          <w:kern w:val="3"/>
          <w:szCs w:val="28"/>
        </w:rPr>
        <w:t>每位</w:t>
      </w:r>
      <w:r w:rsidRPr="00430690">
        <w:rPr>
          <w:rFonts w:eastAsia="標楷體" w:hint="eastAsia"/>
          <w:bCs/>
          <w:kern w:val="3"/>
          <w:szCs w:val="28"/>
        </w:rPr>
        <w:t>新進人員</w:t>
      </w:r>
      <w:r w:rsidRPr="00430690">
        <w:rPr>
          <w:rFonts w:eastAsia="標楷體"/>
          <w:bCs/>
          <w:kern w:val="3"/>
          <w:szCs w:val="28"/>
        </w:rPr>
        <w:t>提供完善的</w:t>
      </w:r>
      <w:r w:rsidRPr="00430690">
        <w:rPr>
          <w:rFonts w:eastAsia="標楷體" w:hint="eastAsia"/>
          <w:bCs/>
          <w:kern w:val="3"/>
          <w:szCs w:val="28"/>
        </w:rPr>
        <w:t>各項協助</w:t>
      </w:r>
      <w:r w:rsidRPr="00430690">
        <w:rPr>
          <w:rFonts w:eastAsia="標楷體"/>
          <w:bCs/>
          <w:kern w:val="3"/>
          <w:szCs w:val="28"/>
        </w:rPr>
        <w:t>，</w:t>
      </w:r>
      <w:r w:rsidRPr="00430690">
        <w:rPr>
          <w:rFonts w:eastAsia="標楷體" w:hint="eastAsia"/>
          <w:bCs/>
          <w:kern w:val="3"/>
          <w:szCs w:val="28"/>
        </w:rPr>
        <w:t>包含人、事、物之認識與熟悉，</w:t>
      </w:r>
      <w:r w:rsidRPr="00430690">
        <w:rPr>
          <w:rFonts w:eastAsia="標楷體"/>
          <w:bCs/>
          <w:kern w:val="3"/>
          <w:szCs w:val="28"/>
        </w:rPr>
        <w:t>以強化新進人員的</w:t>
      </w:r>
      <w:r w:rsidRPr="00430690">
        <w:rPr>
          <w:rFonts w:eastAsia="標楷體" w:hint="eastAsia"/>
          <w:bCs/>
          <w:kern w:val="3"/>
          <w:szCs w:val="28"/>
        </w:rPr>
        <w:t>對環境及學校文化之</w:t>
      </w:r>
      <w:r w:rsidRPr="00430690">
        <w:rPr>
          <w:rFonts w:eastAsia="標楷體"/>
          <w:bCs/>
          <w:kern w:val="3"/>
          <w:szCs w:val="28"/>
        </w:rPr>
        <w:t>適應力。</w:t>
      </w:r>
      <w:r w:rsidRPr="00430690">
        <w:rPr>
          <w:rFonts w:eastAsia="標楷體" w:hint="eastAsia"/>
          <w:bCs/>
          <w:kern w:val="3"/>
          <w:szCs w:val="28"/>
        </w:rPr>
        <w:t>辦理研究</w:t>
      </w:r>
      <w:r w:rsidRPr="00430690">
        <w:rPr>
          <w:rFonts w:eastAsia="標楷體"/>
          <w:bCs/>
          <w:kern w:val="3"/>
          <w:szCs w:val="28"/>
        </w:rPr>
        <w:t>經驗分享座談</w:t>
      </w:r>
      <w:r w:rsidRPr="00430690">
        <w:rPr>
          <w:rFonts w:eastAsia="標楷體" w:hint="eastAsia"/>
          <w:bCs/>
          <w:kern w:val="3"/>
          <w:szCs w:val="28"/>
        </w:rPr>
        <w:t>，</w:t>
      </w:r>
      <w:r w:rsidRPr="00430690">
        <w:rPr>
          <w:rFonts w:eastAsia="標楷體"/>
          <w:bCs/>
          <w:kern w:val="3"/>
          <w:szCs w:val="28"/>
        </w:rPr>
        <w:t>由新進人員分享成功或失敗經驗，彼此學習仿效，由</w:t>
      </w:r>
      <w:r w:rsidRPr="00430690">
        <w:rPr>
          <w:rFonts w:eastAsia="標楷體" w:hint="eastAsia"/>
          <w:bCs/>
          <w:kern w:val="3"/>
          <w:szCs w:val="28"/>
        </w:rPr>
        <w:t>資深引領</w:t>
      </w:r>
      <w:r w:rsidRPr="00430690">
        <w:rPr>
          <w:rFonts w:eastAsia="標楷體"/>
          <w:bCs/>
          <w:kern w:val="3"/>
          <w:szCs w:val="28"/>
        </w:rPr>
        <w:t>者與新進人員座談，分享他們</w:t>
      </w:r>
      <w:r w:rsidRPr="00430690">
        <w:rPr>
          <w:rFonts w:eastAsia="標楷體" w:hint="eastAsia"/>
          <w:bCs/>
          <w:kern w:val="3"/>
          <w:szCs w:val="28"/>
        </w:rPr>
        <w:t>進行研究與發表的</w:t>
      </w:r>
      <w:r w:rsidRPr="00430690">
        <w:rPr>
          <w:rFonts w:eastAsia="標楷體"/>
          <w:bCs/>
          <w:kern w:val="3"/>
          <w:szCs w:val="28"/>
        </w:rPr>
        <w:t>成功經歷，使經驗傳承，協助</w:t>
      </w:r>
      <w:r w:rsidRPr="00430690">
        <w:rPr>
          <w:rFonts w:eastAsia="標楷體" w:hint="eastAsia"/>
          <w:bCs/>
          <w:kern w:val="3"/>
          <w:szCs w:val="28"/>
        </w:rPr>
        <w:t>新進人員</w:t>
      </w:r>
      <w:r w:rsidRPr="00430690">
        <w:rPr>
          <w:rFonts w:eastAsia="標楷體"/>
          <w:bCs/>
          <w:kern w:val="3"/>
          <w:szCs w:val="28"/>
        </w:rPr>
        <w:t>建立</w:t>
      </w:r>
      <w:r w:rsidRPr="00430690">
        <w:rPr>
          <w:rFonts w:eastAsia="標楷體" w:hint="eastAsia"/>
          <w:bCs/>
          <w:kern w:val="3"/>
          <w:szCs w:val="28"/>
        </w:rPr>
        <w:t>研究</w:t>
      </w:r>
      <w:r w:rsidRPr="00430690">
        <w:rPr>
          <w:rFonts w:eastAsia="標楷體"/>
          <w:bCs/>
          <w:kern w:val="3"/>
          <w:szCs w:val="28"/>
        </w:rPr>
        <w:t>自信願景</w:t>
      </w:r>
      <w:r w:rsidRPr="00430690">
        <w:rPr>
          <w:rFonts w:eastAsia="標楷體" w:hint="eastAsia"/>
          <w:bCs/>
          <w:kern w:val="3"/>
          <w:szCs w:val="28"/>
        </w:rPr>
        <w:t>及價值觀</w:t>
      </w:r>
      <w:r w:rsidRPr="00430690">
        <w:rPr>
          <w:rFonts w:eastAsia="標楷體"/>
          <w:bCs/>
          <w:kern w:val="3"/>
          <w:szCs w:val="28"/>
        </w:rPr>
        <w:t>，藉由團體動力</w:t>
      </w:r>
      <w:r w:rsidRPr="00430690">
        <w:rPr>
          <w:rFonts w:eastAsia="標楷體" w:hint="eastAsia"/>
          <w:bCs/>
          <w:kern w:val="3"/>
          <w:szCs w:val="28"/>
        </w:rPr>
        <w:t>與合作，鞏固、延續並增進研究與發表的動能。提供並鼓勵其</w:t>
      </w:r>
      <w:r w:rsidRPr="00430690">
        <w:rPr>
          <w:rFonts w:eastAsia="標楷體"/>
          <w:bCs/>
          <w:kern w:val="3"/>
          <w:szCs w:val="28"/>
        </w:rPr>
        <w:t>至</w:t>
      </w:r>
      <w:r w:rsidRPr="00430690">
        <w:rPr>
          <w:rFonts w:eastAsia="標楷體" w:hint="eastAsia"/>
          <w:bCs/>
          <w:kern w:val="3"/>
          <w:szCs w:val="28"/>
        </w:rPr>
        <w:t>國內外</w:t>
      </w:r>
      <w:r w:rsidRPr="00430690">
        <w:rPr>
          <w:rFonts w:eastAsia="標楷體"/>
          <w:bCs/>
          <w:kern w:val="3"/>
          <w:szCs w:val="28"/>
        </w:rPr>
        <w:t>大專院校</w:t>
      </w:r>
      <w:r w:rsidRPr="00430690">
        <w:rPr>
          <w:rFonts w:eastAsia="標楷體" w:hint="eastAsia"/>
          <w:bCs/>
          <w:kern w:val="3"/>
          <w:szCs w:val="28"/>
        </w:rPr>
        <w:t>交流，擴展並繼續</w:t>
      </w:r>
      <w:r w:rsidRPr="00430690">
        <w:rPr>
          <w:rFonts w:eastAsia="標楷體"/>
          <w:bCs/>
          <w:kern w:val="3"/>
          <w:szCs w:val="28"/>
        </w:rPr>
        <w:t>汲取</w:t>
      </w:r>
      <w:r w:rsidRPr="00430690">
        <w:rPr>
          <w:rFonts w:eastAsia="標楷體" w:hint="eastAsia"/>
          <w:bCs/>
          <w:kern w:val="3"/>
          <w:szCs w:val="28"/>
        </w:rPr>
        <w:t>研究經驗及</w:t>
      </w:r>
      <w:r w:rsidRPr="00430690">
        <w:rPr>
          <w:rFonts w:eastAsia="標楷體"/>
          <w:bCs/>
          <w:kern w:val="3"/>
          <w:szCs w:val="28"/>
        </w:rPr>
        <w:t>專業知能</w:t>
      </w:r>
      <w:r w:rsidRPr="00430690">
        <w:rPr>
          <w:rFonts w:eastAsia="標楷體" w:hint="eastAsia"/>
          <w:bCs/>
          <w:kern w:val="3"/>
          <w:szCs w:val="28"/>
        </w:rPr>
        <w:t>。</w:t>
      </w:r>
      <w:r w:rsidRPr="00430690">
        <w:rPr>
          <w:rFonts w:eastAsia="標楷體"/>
          <w:bCs/>
          <w:kern w:val="3"/>
          <w:szCs w:val="28"/>
        </w:rPr>
        <w:t>了解</w:t>
      </w:r>
      <w:r w:rsidRPr="00430690">
        <w:rPr>
          <w:rFonts w:eastAsia="標楷體" w:hint="eastAsia"/>
          <w:bCs/>
          <w:kern w:val="3"/>
          <w:szCs w:val="28"/>
        </w:rPr>
        <w:t>新進人員在教學、行政、輔導、研究</w:t>
      </w:r>
      <w:r w:rsidRPr="00430690">
        <w:rPr>
          <w:rFonts w:eastAsia="標楷體"/>
          <w:bCs/>
          <w:kern w:val="3"/>
          <w:szCs w:val="28"/>
        </w:rPr>
        <w:t>工作之壓力來源及適時</w:t>
      </w:r>
      <w:r w:rsidRPr="00430690">
        <w:rPr>
          <w:rFonts w:eastAsia="標楷體" w:hint="eastAsia"/>
          <w:bCs/>
          <w:kern w:val="3"/>
          <w:szCs w:val="28"/>
        </w:rPr>
        <w:t>分擔與</w:t>
      </w:r>
      <w:r w:rsidRPr="00430690">
        <w:rPr>
          <w:rFonts w:eastAsia="標楷體"/>
          <w:bCs/>
          <w:kern w:val="3"/>
          <w:szCs w:val="28"/>
        </w:rPr>
        <w:t>激勵，</w:t>
      </w:r>
      <w:r w:rsidRPr="00430690">
        <w:rPr>
          <w:rFonts w:eastAsia="標楷體" w:hint="eastAsia"/>
          <w:bCs/>
          <w:kern w:val="3"/>
          <w:szCs w:val="28"/>
        </w:rPr>
        <w:t>明確並簡化相關研究執行流程</w:t>
      </w:r>
      <w:r w:rsidRPr="00430690">
        <w:rPr>
          <w:rFonts w:eastAsia="標楷體" w:hint="eastAsia"/>
          <w:bCs/>
          <w:kern w:val="3"/>
          <w:szCs w:val="28"/>
        </w:rPr>
        <w:t>S</w:t>
      </w:r>
      <w:r w:rsidRPr="00430690">
        <w:rPr>
          <w:rFonts w:eastAsia="標楷體"/>
          <w:bCs/>
          <w:kern w:val="3"/>
          <w:szCs w:val="28"/>
        </w:rPr>
        <w:t>OP</w:t>
      </w:r>
      <w:r w:rsidRPr="00430690">
        <w:rPr>
          <w:rFonts w:eastAsia="標楷體" w:hint="eastAsia"/>
          <w:bCs/>
          <w:kern w:val="3"/>
          <w:szCs w:val="28"/>
        </w:rPr>
        <w:t>，</w:t>
      </w:r>
      <w:r w:rsidRPr="00430690">
        <w:rPr>
          <w:rFonts w:eastAsia="標楷體"/>
          <w:bCs/>
          <w:kern w:val="3"/>
          <w:szCs w:val="28"/>
        </w:rPr>
        <w:t>營造溫馨友善之</w:t>
      </w:r>
      <w:r w:rsidRPr="00430690">
        <w:rPr>
          <w:rFonts w:eastAsia="標楷體" w:hint="eastAsia"/>
          <w:bCs/>
          <w:kern w:val="3"/>
          <w:szCs w:val="28"/>
        </w:rPr>
        <w:t>研究</w:t>
      </w:r>
      <w:r w:rsidRPr="00430690">
        <w:rPr>
          <w:rFonts w:eastAsia="標楷體"/>
          <w:bCs/>
          <w:kern w:val="3"/>
          <w:szCs w:val="28"/>
        </w:rPr>
        <w:t>校園氛圍，提升</w:t>
      </w:r>
      <w:r w:rsidRPr="00430690">
        <w:rPr>
          <w:rFonts w:eastAsia="標楷體" w:hint="eastAsia"/>
          <w:bCs/>
          <w:kern w:val="3"/>
          <w:szCs w:val="28"/>
        </w:rPr>
        <w:t>其持續執行研究之機會與意願。</w:t>
      </w:r>
    </w:p>
    <w:p w:rsidR="00615DD7" w:rsidRPr="00430690" w:rsidRDefault="00615DD7" w:rsidP="00615DD7">
      <w:pPr>
        <w:numPr>
          <w:ilvl w:val="0"/>
          <w:numId w:val="12"/>
        </w:numPr>
        <w:suppressAutoHyphens/>
        <w:autoSpaceDN w:val="0"/>
        <w:spacing w:line="360" w:lineRule="exact"/>
        <w:ind w:leftChars="413" w:left="991" w:firstLine="33"/>
        <w:textAlignment w:val="baseline"/>
        <w:rPr>
          <w:rFonts w:eastAsia="標楷體"/>
          <w:bCs/>
          <w:szCs w:val="28"/>
        </w:rPr>
      </w:pPr>
      <w:r w:rsidRPr="00430690">
        <w:rPr>
          <w:rFonts w:eastAsia="標楷體" w:hint="eastAsia"/>
          <w:bCs/>
          <w:szCs w:val="28"/>
        </w:rPr>
        <w:t>與新進人員建立合作夥伴關係，開展合作研究，以達到共同發展的目的。</w:t>
      </w:r>
    </w:p>
    <w:p w:rsidR="00615DD7" w:rsidRPr="00430690" w:rsidRDefault="00615DD7" w:rsidP="00615DD7">
      <w:pPr>
        <w:numPr>
          <w:ilvl w:val="0"/>
          <w:numId w:val="12"/>
        </w:numPr>
        <w:suppressAutoHyphens/>
        <w:autoSpaceDN w:val="0"/>
        <w:spacing w:line="360" w:lineRule="exact"/>
        <w:ind w:leftChars="413" w:left="991" w:firstLine="33"/>
        <w:textAlignment w:val="baseline"/>
        <w:rPr>
          <w:rFonts w:eastAsia="標楷體"/>
          <w:bCs/>
          <w:szCs w:val="28"/>
        </w:rPr>
      </w:pPr>
      <w:r w:rsidRPr="00430690">
        <w:rPr>
          <w:rFonts w:eastAsia="標楷體" w:hint="eastAsia"/>
          <w:bCs/>
          <w:szCs w:val="28"/>
        </w:rPr>
        <w:t>與新進人員進行合作研究，在相互瞭解中找到共同感興趣的課題、分工合作，並分享成功經驗。</w:t>
      </w:r>
    </w:p>
    <w:p w:rsidR="00615DD7" w:rsidRPr="00430690" w:rsidRDefault="00615DD7" w:rsidP="00615DD7">
      <w:pPr>
        <w:suppressAutoHyphens/>
        <w:autoSpaceDN w:val="0"/>
        <w:spacing w:line="360" w:lineRule="exact"/>
        <w:ind w:leftChars="295" w:left="847" w:hangingChars="58" w:hanging="139"/>
        <w:textAlignment w:val="baseline"/>
        <w:rPr>
          <w:rFonts w:eastAsia="標楷體"/>
          <w:bCs/>
          <w:kern w:val="3"/>
          <w:szCs w:val="28"/>
        </w:rPr>
      </w:pPr>
      <w:r w:rsidRPr="00430690">
        <w:rPr>
          <w:rFonts w:eastAsia="標楷體" w:hint="eastAsia"/>
          <w:bCs/>
          <w:kern w:val="3"/>
          <w:szCs w:val="28"/>
        </w:rPr>
        <w:t>8.</w:t>
      </w:r>
      <w:r w:rsidRPr="00430690">
        <w:rPr>
          <w:rFonts w:eastAsia="標楷體" w:hint="eastAsia"/>
          <w:bCs/>
          <w:kern w:val="3"/>
          <w:szCs w:val="28"/>
        </w:rPr>
        <w:t>鼓勵新進人員與資深人員共同合作，申請校內或校外產學計畫，引領新進人員執行專案，透過專案執行建立新進人員研究專案執行能力，並提供專案計畫行政執行諮詢窗口給予相關協助，提升新進人員推動研究計畫之意願。</w:t>
      </w:r>
    </w:p>
    <w:p w:rsidR="00615DD7" w:rsidRPr="00430690" w:rsidRDefault="00615DD7" w:rsidP="00615DD7">
      <w:pPr>
        <w:suppressAutoHyphens/>
        <w:autoSpaceDN w:val="0"/>
        <w:spacing w:line="360" w:lineRule="exact"/>
        <w:ind w:leftChars="295" w:left="847" w:hangingChars="58" w:hanging="139"/>
        <w:textAlignment w:val="baseline"/>
        <w:rPr>
          <w:rFonts w:eastAsia="標楷體"/>
          <w:bCs/>
          <w:kern w:val="3"/>
          <w:szCs w:val="28"/>
        </w:rPr>
      </w:pPr>
      <w:r w:rsidRPr="00430690">
        <w:rPr>
          <w:rFonts w:eastAsia="標楷體" w:hint="eastAsia"/>
          <w:bCs/>
          <w:kern w:val="3"/>
          <w:szCs w:val="28"/>
        </w:rPr>
        <w:t>9.</w:t>
      </w:r>
      <w:r w:rsidRPr="00430690">
        <w:rPr>
          <w:rFonts w:eastAsia="標楷體" w:hint="eastAsia"/>
          <w:bCs/>
          <w:kern w:val="3"/>
          <w:szCs w:val="28"/>
        </w:rPr>
        <w:t>介紹新進人員產學合作之廠商，提高新進人員執行產學計畫之能力，並且引導其深入瞭解該系之業界</w:t>
      </w:r>
      <w:r w:rsidRPr="00430690">
        <w:rPr>
          <w:rFonts w:eastAsia="標楷體" w:hint="eastAsia"/>
          <w:bCs/>
          <w:kern w:val="3"/>
          <w:szCs w:val="28"/>
        </w:rPr>
        <w:t>(</w:t>
      </w:r>
      <w:r w:rsidRPr="00430690">
        <w:rPr>
          <w:rFonts w:eastAsia="標楷體" w:hint="eastAsia"/>
          <w:bCs/>
          <w:kern w:val="3"/>
          <w:szCs w:val="28"/>
        </w:rPr>
        <w:t>實習機構</w:t>
      </w:r>
      <w:r w:rsidRPr="00430690">
        <w:rPr>
          <w:rFonts w:eastAsia="標楷體" w:hint="eastAsia"/>
          <w:bCs/>
          <w:kern w:val="3"/>
          <w:szCs w:val="28"/>
        </w:rPr>
        <w:t>)</w:t>
      </w:r>
      <w:r w:rsidRPr="00430690">
        <w:rPr>
          <w:rFonts w:eastAsia="標楷體" w:hint="eastAsia"/>
          <w:bCs/>
          <w:kern w:val="3"/>
          <w:szCs w:val="28"/>
        </w:rPr>
        <w:t>於執行計畫之運作模式。</w:t>
      </w:r>
      <w:proofErr w:type="gramStart"/>
      <w:r w:rsidRPr="00430690">
        <w:rPr>
          <w:rFonts w:eastAsia="標楷體" w:hint="eastAsia"/>
          <w:bCs/>
          <w:kern w:val="3"/>
          <w:szCs w:val="28"/>
        </w:rPr>
        <w:t>歷如環境</w:t>
      </w:r>
      <w:proofErr w:type="gramEnd"/>
      <w:r w:rsidRPr="00430690">
        <w:rPr>
          <w:rFonts w:eastAsia="標楷體" w:hint="eastAsia"/>
          <w:bCs/>
          <w:kern w:val="3"/>
          <w:szCs w:val="28"/>
        </w:rPr>
        <w:t>顧問公司於環保局計畫執行</w:t>
      </w:r>
      <w:proofErr w:type="gramStart"/>
      <w:r w:rsidRPr="00430690">
        <w:rPr>
          <w:rFonts w:eastAsia="標楷體" w:hint="eastAsia"/>
          <w:bCs/>
          <w:kern w:val="3"/>
          <w:szCs w:val="28"/>
        </w:rPr>
        <w:t>時需鏈</w:t>
      </w:r>
      <w:proofErr w:type="gramEnd"/>
      <w:r w:rsidRPr="00430690">
        <w:rPr>
          <w:rFonts w:eastAsia="標楷體" w:hint="eastAsia"/>
          <w:bCs/>
          <w:kern w:val="3"/>
          <w:szCs w:val="28"/>
        </w:rPr>
        <w:t>結於環境檢測公司及學術界之生態鏈，以及製造業例如科技廠的廢水再生處理等問題可與學術界之產學合作機會。</w:t>
      </w:r>
    </w:p>
    <w:p w:rsidR="00615DD7" w:rsidRPr="00430690" w:rsidRDefault="00615DD7" w:rsidP="00615DD7">
      <w:pPr>
        <w:suppressAutoHyphens/>
        <w:autoSpaceDN w:val="0"/>
        <w:spacing w:line="360" w:lineRule="exact"/>
        <w:ind w:leftChars="295" w:left="847" w:hangingChars="58" w:hanging="139"/>
        <w:textAlignment w:val="baseline"/>
        <w:rPr>
          <w:rFonts w:eastAsia="標楷體"/>
          <w:bCs/>
          <w:kern w:val="3"/>
          <w:szCs w:val="28"/>
        </w:rPr>
      </w:pPr>
      <w:r w:rsidRPr="00430690">
        <w:rPr>
          <w:rFonts w:eastAsia="標楷體" w:hint="eastAsia"/>
          <w:bCs/>
          <w:kern w:val="3"/>
          <w:szCs w:val="28"/>
        </w:rPr>
        <w:t xml:space="preserve">10. </w:t>
      </w:r>
      <w:r w:rsidRPr="00430690">
        <w:rPr>
          <w:rFonts w:eastAsia="標楷體" w:hint="eastAsia"/>
          <w:bCs/>
          <w:kern w:val="3"/>
          <w:szCs w:val="28"/>
        </w:rPr>
        <w:t>帶領新進人員加入教育部</w:t>
      </w:r>
      <w:proofErr w:type="gramStart"/>
      <w:r w:rsidRPr="00430690">
        <w:rPr>
          <w:rFonts w:eastAsia="標楷體" w:hint="eastAsia"/>
          <w:bCs/>
          <w:kern w:val="3"/>
          <w:szCs w:val="28"/>
        </w:rPr>
        <w:t>優化技</w:t>
      </w:r>
      <w:proofErr w:type="gramEnd"/>
      <w:r w:rsidRPr="00430690">
        <w:rPr>
          <w:rFonts w:eastAsia="標楷體" w:hint="eastAsia"/>
          <w:bCs/>
          <w:kern w:val="3"/>
          <w:szCs w:val="28"/>
        </w:rPr>
        <w:t>職校院之的策略聯盟，成為例如再生水類產業及人才培育之種子教師，以延展其於產業界對於學術需求之敏感度。</w:t>
      </w:r>
    </w:p>
    <w:p w:rsidR="00615DD7" w:rsidRPr="00430690" w:rsidRDefault="00615DD7" w:rsidP="00615DD7">
      <w:pPr>
        <w:suppressAutoHyphens/>
        <w:autoSpaceDN w:val="0"/>
        <w:spacing w:line="360" w:lineRule="exact"/>
        <w:ind w:leftChars="295" w:left="847" w:hangingChars="58" w:hanging="139"/>
        <w:textAlignment w:val="baseline"/>
        <w:rPr>
          <w:rFonts w:eastAsia="標楷體"/>
          <w:bCs/>
          <w:kern w:val="3"/>
          <w:szCs w:val="28"/>
        </w:rPr>
      </w:pPr>
      <w:r w:rsidRPr="00430690">
        <w:rPr>
          <w:rFonts w:eastAsia="標楷體" w:hint="eastAsia"/>
          <w:bCs/>
          <w:kern w:val="3"/>
          <w:szCs w:val="28"/>
        </w:rPr>
        <w:t>11.</w:t>
      </w:r>
      <w:r w:rsidRPr="00430690">
        <w:rPr>
          <w:rFonts w:eastAsia="標楷體" w:hint="eastAsia"/>
          <w:bCs/>
          <w:kern w:val="3"/>
          <w:szCs w:val="28"/>
        </w:rPr>
        <w:t>帶領新進人員投稿並發表論文於國際研討會，特別是可以將已發表之論文轉投稿於</w:t>
      </w:r>
      <w:r w:rsidRPr="00430690">
        <w:rPr>
          <w:rFonts w:eastAsia="標楷體" w:hint="eastAsia"/>
          <w:bCs/>
          <w:kern w:val="3"/>
          <w:szCs w:val="28"/>
        </w:rPr>
        <w:t>SCI</w:t>
      </w:r>
      <w:r w:rsidRPr="00430690">
        <w:rPr>
          <w:rFonts w:eastAsia="標楷體" w:hint="eastAsia"/>
          <w:bCs/>
          <w:kern w:val="3"/>
          <w:szCs w:val="28"/>
        </w:rPr>
        <w:t>期刊的國際研討會可強烈建議參與。</w:t>
      </w:r>
    </w:p>
    <w:p w:rsidR="00615DD7" w:rsidRPr="00615DD7" w:rsidRDefault="00615DD7" w:rsidP="00615DD7">
      <w:pPr>
        <w:numPr>
          <w:ilvl w:val="5"/>
          <w:numId w:val="7"/>
        </w:numPr>
        <w:suppressAutoHyphens/>
        <w:autoSpaceDN w:val="0"/>
        <w:spacing w:before="240" w:line="360" w:lineRule="exact"/>
        <w:jc w:val="both"/>
        <w:textAlignment w:val="baseline"/>
        <w:rPr>
          <w:rFonts w:eastAsia="標楷體"/>
          <w:bCs/>
          <w:kern w:val="3"/>
          <w:szCs w:val="28"/>
        </w:rPr>
      </w:pPr>
      <w:r w:rsidRPr="00615DD7">
        <w:rPr>
          <w:rFonts w:eastAsia="標楷體" w:hint="eastAsia"/>
          <w:bCs/>
          <w:kern w:val="3"/>
          <w:szCs w:val="28"/>
        </w:rPr>
        <w:t>預期達成之成果及績效、未來績效評估基準</w:t>
      </w:r>
      <w:r w:rsidRPr="00615DD7">
        <w:rPr>
          <w:rFonts w:eastAsia="標楷體" w:hint="eastAsia"/>
          <w:bCs/>
          <w:kern w:val="3"/>
          <w:szCs w:val="28"/>
        </w:rPr>
        <w:t>(</w:t>
      </w:r>
      <w:r w:rsidRPr="00615DD7">
        <w:rPr>
          <w:rFonts w:eastAsia="標楷體" w:hint="eastAsia"/>
          <w:bCs/>
          <w:kern w:val="3"/>
          <w:szCs w:val="28"/>
        </w:rPr>
        <w:t>例如對申請機構研究工作之助益、對於科技發展之貢獻、對產業技術升級或研究團隊養成之效益等</w:t>
      </w:r>
      <w:r w:rsidRPr="00615DD7">
        <w:rPr>
          <w:rFonts w:eastAsia="標楷體" w:hint="eastAsia"/>
          <w:bCs/>
          <w:kern w:val="3"/>
          <w:szCs w:val="28"/>
        </w:rPr>
        <w:t>)</w:t>
      </w:r>
      <w:r w:rsidRPr="00615DD7">
        <w:rPr>
          <w:rFonts w:eastAsia="標楷體" w:hint="eastAsia"/>
          <w:bCs/>
          <w:kern w:val="3"/>
          <w:szCs w:val="28"/>
        </w:rPr>
        <w:t>。</w:t>
      </w:r>
    </w:p>
    <w:p w:rsidR="00615DD7" w:rsidRPr="00615DD7" w:rsidRDefault="00615DD7" w:rsidP="00615DD7">
      <w:pPr>
        <w:ind w:leftChars="200" w:left="480" w:firstLineChars="213" w:firstLine="511"/>
        <w:rPr>
          <w:rFonts w:eastAsia="標楷體"/>
          <w:bCs/>
          <w:szCs w:val="28"/>
        </w:rPr>
      </w:pPr>
      <w:r w:rsidRPr="00615DD7">
        <w:rPr>
          <w:rFonts w:eastAsia="標楷體" w:hint="eastAsia"/>
          <w:bCs/>
          <w:szCs w:val="28"/>
        </w:rPr>
        <w:t>由於本校對於獲獎</w:t>
      </w:r>
      <w:proofErr w:type="gramStart"/>
      <w:r w:rsidRPr="00615DD7">
        <w:rPr>
          <w:rFonts w:eastAsia="標楷體" w:hint="eastAsia"/>
          <w:bCs/>
          <w:szCs w:val="28"/>
        </w:rPr>
        <w:t>人均有績效</w:t>
      </w:r>
      <w:proofErr w:type="gramEnd"/>
      <w:r w:rsidRPr="00615DD7">
        <w:rPr>
          <w:rFonts w:eastAsia="標楷體" w:hint="eastAsia"/>
          <w:bCs/>
          <w:szCs w:val="28"/>
        </w:rPr>
        <w:t>上之要求，故預期獲獎之</w:t>
      </w:r>
      <w:proofErr w:type="gramStart"/>
      <w:r w:rsidRPr="00615DD7">
        <w:rPr>
          <w:rFonts w:eastAsia="標楷體" w:hint="eastAsia"/>
          <w:bCs/>
          <w:szCs w:val="28"/>
        </w:rPr>
        <w:t>教師均會</w:t>
      </w:r>
      <w:proofErr w:type="gramEnd"/>
      <w:r w:rsidRPr="00615DD7">
        <w:rPr>
          <w:rFonts w:eastAsia="標楷體" w:hint="eastAsia"/>
          <w:bCs/>
          <w:szCs w:val="28"/>
        </w:rPr>
        <w:t>在研究上更加努力，故對於科技發展與機構之研究</w:t>
      </w:r>
      <w:proofErr w:type="gramStart"/>
      <w:r w:rsidRPr="00615DD7">
        <w:rPr>
          <w:rFonts w:eastAsia="標楷體" w:hint="eastAsia"/>
          <w:bCs/>
          <w:szCs w:val="28"/>
        </w:rPr>
        <w:t>工作均會</w:t>
      </w:r>
      <w:proofErr w:type="gramEnd"/>
      <w:r w:rsidRPr="00615DD7">
        <w:rPr>
          <w:rFonts w:eastAsia="標楷體" w:hint="eastAsia"/>
          <w:bCs/>
          <w:szCs w:val="28"/>
        </w:rPr>
        <w:t>有甚大之助益，且本校申請人多半為理工或醫護類背景，對於產業升級與團隊</w:t>
      </w:r>
      <w:proofErr w:type="gramStart"/>
      <w:r w:rsidRPr="00615DD7">
        <w:rPr>
          <w:rFonts w:eastAsia="標楷體" w:hint="eastAsia"/>
          <w:bCs/>
          <w:szCs w:val="28"/>
        </w:rPr>
        <w:t>養成均有一</w:t>
      </w:r>
      <w:proofErr w:type="gramEnd"/>
      <w:r w:rsidRPr="00615DD7">
        <w:rPr>
          <w:rFonts w:eastAsia="標楷體" w:hint="eastAsia"/>
          <w:bCs/>
          <w:szCs w:val="28"/>
        </w:rPr>
        <w:t>定助益。</w:t>
      </w:r>
    </w:p>
    <w:p w:rsidR="00615DD7" w:rsidRPr="00615DD7" w:rsidRDefault="00615DD7" w:rsidP="00615DD7">
      <w:pPr>
        <w:ind w:leftChars="200" w:left="480" w:firstLineChars="213" w:firstLine="511"/>
        <w:rPr>
          <w:rFonts w:eastAsia="標楷體"/>
          <w:bCs/>
          <w:szCs w:val="28"/>
        </w:rPr>
      </w:pPr>
      <w:r w:rsidRPr="00615DD7">
        <w:rPr>
          <w:rFonts w:eastAsia="標楷體" w:hint="eastAsia"/>
          <w:bCs/>
          <w:szCs w:val="28"/>
        </w:rPr>
        <w:t>本研究獎助預期可加強各專業領域之學術研究層次，更可提升新進人員投入學術研究之意願，並且可同時培育在校專題生，養成教師個人研究團隊，增加系所學術研究之貢獻。</w:t>
      </w:r>
      <w:r w:rsidR="00430690" w:rsidRPr="00615DD7">
        <w:rPr>
          <w:noProof/>
        </w:rPr>
        <mc:AlternateContent>
          <mc:Choice Requires="wps">
            <w:drawing>
              <wp:anchor distT="0" distB="0" distL="114300" distR="114300" simplePos="0" relativeHeight="251657728" behindDoc="0" locked="0" layoutInCell="1" allowOverlap="1">
                <wp:simplePos x="0" y="0"/>
                <wp:positionH relativeFrom="column">
                  <wp:posOffset>4572000</wp:posOffset>
                </wp:positionH>
                <wp:positionV relativeFrom="paragraph">
                  <wp:posOffset>6731000</wp:posOffset>
                </wp:positionV>
                <wp:extent cx="808990" cy="125730"/>
                <wp:effectExtent l="0" t="0" r="4445" b="63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25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DD7" w:rsidRDefault="00615DD7" w:rsidP="00615DD7">
                            <w:pPr>
                              <w:rPr>
                                <w:rFonts w:ascii="標楷體" w:eastAsia="標楷體" w:hAnsi="標楷體"/>
                              </w:rPr>
                            </w:pPr>
                            <w:r>
                              <w:rPr>
                                <w:rFonts w:ascii="標楷體" w:eastAsia="標楷體" w:hAnsi="標楷體" w:hint="eastAsia"/>
                              </w:rPr>
                              <w:t>共  4 頁  第  4  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5in;margin-top:530pt;width:63.7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kytg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" filled="f" stroked="f">
                <v:textbox>
                  <w:txbxContent>
                    <w:p w:rsidR="00615DD7" w:rsidRDefault="00615DD7" w:rsidP="00615DD7">
                      <w:pPr>
                        <w:rPr>
                          <w:rFonts w:ascii="標楷體" w:eastAsia="標楷體" w:hAnsi="標楷體"/>
                        </w:rPr>
                      </w:pPr>
                      <w:r>
                        <w:rPr>
                          <w:rFonts w:ascii="標楷體" w:eastAsia="標楷體" w:hAnsi="標楷體" w:hint="eastAsia"/>
                        </w:rPr>
                        <w:t>共  4 頁  第  4  頁</w:t>
                      </w:r>
                    </w:p>
                  </w:txbxContent>
                </v:textbox>
              </v:shape>
            </w:pict>
          </mc:Fallback>
        </mc:AlternateContent>
      </w:r>
    </w:p>
    <w:p w:rsidR="0087651F" w:rsidRPr="00C72667" w:rsidRDefault="0087651F" w:rsidP="007D7DEC">
      <w:pPr>
        <w:spacing w:line="360" w:lineRule="exact"/>
        <w:ind w:left="737"/>
        <w:jc w:val="both"/>
        <w:rPr>
          <w:rFonts w:eastAsia="標楷體"/>
          <w:color w:val="FF0000"/>
          <w:szCs w:val="28"/>
        </w:rPr>
      </w:pPr>
    </w:p>
    <w:sectPr w:rsidR="0087651F" w:rsidRPr="00C72667" w:rsidSect="002029FB">
      <w:footerReference w:type="default" r:id="rId8"/>
      <w:pgSz w:w="11906" w:h="16838"/>
      <w:pgMar w:top="1134" w:right="1134" w:bottom="1134" w:left="1134"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560" w:rsidRDefault="00281560">
      <w:r>
        <w:separator/>
      </w:r>
    </w:p>
  </w:endnote>
  <w:endnote w:type="continuationSeparator" w:id="0">
    <w:p w:rsidR="00281560" w:rsidRDefault="0028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FB" w:rsidRDefault="002029FB">
    <w:pPr>
      <w:pStyle w:val="a7"/>
      <w:jc w:val="center"/>
    </w:pPr>
  </w:p>
  <w:p w:rsidR="002029FB" w:rsidRDefault="002029F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9FB" w:rsidRDefault="002029FB">
    <w:pPr>
      <w:pStyle w:val="a7"/>
      <w:jc w:val="center"/>
    </w:pPr>
    <w:r>
      <w:fldChar w:fldCharType="begin"/>
    </w:r>
    <w:r>
      <w:instrText>PAGE   \* MERGEFORMAT</w:instrText>
    </w:r>
    <w:r>
      <w:fldChar w:fldCharType="separate"/>
    </w:r>
    <w:r>
      <w:rPr>
        <w:lang w:val="zh-TW"/>
      </w:rPr>
      <w:t>2</w:t>
    </w:r>
    <w:r>
      <w:fldChar w:fldCharType="end"/>
    </w:r>
  </w:p>
  <w:p w:rsidR="002029FB" w:rsidRDefault="002029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560" w:rsidRDefault="00281560">
      <w:r>
        <w:separator/>
      </w:r>
    </w:p>
  </w:footnote>
  <w:footnote w:type="continuationSeparator" w:id="0">
    <w:p w:rsidR="00281560" w:rsidRDefault="00281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45875"/>
    <w:multiLevelType w:val="hybridMultilevel"/>
    <w:tmpl w:val="D294EDCE"/>
    <w:lvl w:ilvl="0" w:tplc="171CE79E">
      <w:start w:val="1"/>
      <w:numFmt w:val="taiwaneseCountingThousand"/>
      <w:lvlText w:val="(%1)"/>
      <w:lvlJc w:val="left"/>
      <w:pPr>
        <w:tabs>
          <w:tab w:val="num" w:pos="1304"/>
        </w:tabs>
        <w:ind w:left="1304" w:hanging="680"/>
      </w:pPr>
      <w:rPr>
        <w:rFonts w:hint="default"/>
      </w:rPr>
    </w:lvl>
    <w:lvl w:ilvl="1" w:tplc="AE30E59A">
      <w:start w:val="1"/>
      <w:numFmt w:val="decimal"/>
      <w:lvlText w:val="%2."/>
      <w:lvlJc w:val="left"/>
      <w:pPr>
        <w:tabs>
          <w:tab w:val="num" w:pos="1758"/>
        </w:tabs>
        <w:ind w:left="1758" w:hanging="397"/>
      </w:pPr>
      <w:rPr>
        <w:rFonts w:hint="eastAsia"/>
      </w:r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1" w15:restartNumberingAfterBreak="0">
    <w:nsid w:val="22C80ED4"/>
    <w:multiLevelType w:val="hybridMultilevel"/>
    <w:tmpl w:val="F506793A"/>
    <w:lvl w:ilvl="0" w:tplc="171CE79E">
      <w:start w:val="1"/>
      <w:numFmt w:val="taiwaneseCountingThousand"/>
      <w:lvlText w:val="(%1)"/>
      <w:lvlJc w:val="left"/>
      <w:pPr>
        <w:tabs>
          <w:tab w:val="num" w:pos="1304"/>
        </w:tabs>
        <w:ind w:left="1304" w:hanging="680"/>
      </w:pPr>
      <w:rPr>
        <w:rFonts w:hint="default"/>
      </w:rPr>
    </w:lvl>
    <w:lvl w:ilvl="1" w:tplc="04090019" w:tentative="1">
      <w:start w:val="1"/>
      <w:numFmt w:val="ideographTraditional"/>
      <w:lvlText w:val="%2、"/>
      <w:lvlJc w:val="left"/>
      <w:pPr>
        <w:tabs>
          <w:tab w:val="num" w:pos="1017"/>
        </w:tabs>
        <w:ind w:left="1017" w:hanging="480"/>
      </w:pPr>
    </w:lvl>
    <w:lvl w:ilvl="2" w:tplc="0409001B" w:tentative="1">
      <w:start w:val="1"/>
      <w:numFmt w:val="lowerRoman"/>
      <w:lvlText w:val="%3."/>
      <w:lvlJc w:val="right"/>
      <w:pPr>
        <w:tabs>
          <w:tab w:val="num" w:pos="1497"/>
        </w:tabs>
        <w:ind w:left="1497" w:hanging="480"/>
      </w:pPr>
    </w:lvl>
    <w:lvl w:ilvl="3" w:tplc="0409000F" w:tentative="1">
      <w:start w:val="1"/>
      <w:numFmt w:val="decimal"/>
      <w:lvlText w:val="%4."/>
      <w:lvlJc w:val="left"/>
      <w:pPr>
        <w:tabs>
          <w:tab w:val="num" w:pos="1977"/>
        </w:tabs>
        <w:ind w:left="1977" w:hanging="480"/>
      </w:pPr>
    </w:lvl>
    <w:lvl w:ilvl="4" w:tplc="04090019" w:tentative="1">
      <w:start w:val="1"/>
      <w:numFmt w:val="ideographTraditional"/>
      <w:lvlText w:val="%5、"/>
      <w:lvlJc w:val="left"/>
      <w:pPr>
        <w:tabs>
          <w:tab w:val="num" w:pos="2457"/>
        </w:tabs>
        <w:ind w:left="2457" w:hanging="480"/>
      </w:pPr>
    </w:lvl>
    <w:lvl w:ilvl="5" w:tplc="0409001B" w:tentative="1">
      <w:start w:val="1"/>
      <w:numFmt w:val="lowerRoman"/>
      <w:lvlText w:val="%6."/>
      <w:lvlJc w:val="right"/>
      <w:pPr>
        <w:tabs>
          <w:tab w:val="num" w:pos="2937"/>
        </w:tabs>
        <w:ind w:left="2937" w:hanging="480"/>
      </w:pPr>
    </w:lvl>
    <w:lvl w:ilvl="6" w:tplc="0409000F" w:tentative="1">
      <w:start w:val="1"/>
      <w:numFmt w:val="decimal"/>
      <w:lvlText w:val="%7."/>
      <w:lvlJc w:val="left"/>
      <w:pPr>
        <w:tabs>
          <w:tab w:val="num" w:pos="3417"/>
        </w:tabs>
        <w:ind w:left="3417" w:hanging="480"/>
      </w:pPr>
    </w:lvl>
    <w:lvl w:ilvl="7" w:tplc="04090019" w:tentative="1">
      <w:start w:val="1"/>
      <w:numFmt w:val="ideographTraditional"/>
      <w:lvlText w:val="%8、"/>
      <w:lvlJc w:val="left"/>
      <w:pPr>
        <w:tabs>
          <w:tab w:val="num" w:pos="3897"/>
        </w:tabs>
        <w:ind w:left="3897" w:hanging="480"/>
      </w:pPr>
    </w:lvl>
    <w:lvl w:ilvl="8" w:tplc="0409001B" w:tentative="1">
      <w:start w:val="1"/>
      <w:numFmt w:val="lowerRoman"/>
      <w:lvlText w:val="%9."/>
      <w:lvlJc w:val="right"/>
      <w:pPr>
        <w:tabs>
          <w:tab w:val="num" w:pos="4377"/>
        </w:tabs>
        <w:ind w:left="4377" w:hanging="480"/>
      </w:pPr>
    </w:lvl>
  </w:abstractNum>
  <w:abstractNum w:abstractNumId="2" w15:restartNumberingAfterBreak="0">
    <w:nsid w:val="24062997"/>
    <w:multiLevelType w:val="multilevel"/>
    <w:tmpl w:val="951237D8"/>
    <w:lvl w:ilvl="0">
      <w:start w:val="1"/>
      <w:numFmt w:val="taiwaneseCountingThousand"/>
      <w:lvlText w:val="（%1）"/>
      <w:lvlJc w:val="left"/>
      <w:pPr>
        <w:ind w:left="1292" w:hanging="680"/>
      </w:pPr>
    </w:lvl>
    <w:lvl w:ilvl="1">
      <w:start w:val="1"/>
      <w:numFmt w:val="ideographTraditional"/>
      <w:lvlText w:val="%2、"/>
      <w:lvlJc w:val="left"/>
      <w:pPr>
        <w:ind w:left="948" w:hanging="480"/>
      </w:pPr>
    </w:lvl>
    <w:lvl w:ilvl="2">
      <w:start w:val="1"/>
      <w:numFmt w:val="lowerRoman"/>
      <w:lvlText w:val="%3."/>
      <w:lvlJc w:val="right"/>
      <w:pPr>
        <w:ind w:left="1428" w:hanging="480"/>
      </w:pPr>
    </w:lvl>
    <w:lvl w:ilvl="3">
      <w:start w:val="1"/>
      <w:numFmt w:val="decimal"/>
      <w:lvlText w:val="%4."/>
      <w:lvlJc w:val="left"/>
      <w:pPr>
        <w:ind w:left="1908" w:hanging="480"/>
      </w:pPr>
    </w:lvl>
    <w:lvl w:ilvl="4">
      <w:start w:val="1"/>
      <w:numFmt w:val="ideographTraditional"/>
      <w:lvlText w:val="%5、"/>
      <w:lvlJc w:val="left"/>
      <w:pPr>
        <w:ind w:left="2388" w:hanging="480"/>
      </w:pPr>
    </w:lvl>
    <w:lvl w:ilvl="5">
      <w:start w:val="1"/>
      <w:numFmt w:val="taiwaneseCountingThousand"/>
      <w:lvlText w:val="（%6）"/>
      <w:lvlJc w:val="left"/>
      <w:pPr>
        <w:ind w:left="737" w:hanging="737"/>
      </w:pPr>
      <w:rPr>
        <w:rFonts w:eastAsia="標楷體"/>
      </w:rPr>
    </w:lvl>
    <w:lvl w:ilvl="6">
      <w:start w:val="1"/>
      <w:numFmt w:val="decimal"/>
      <w:lvlText w:val="%7."/>
      <w:lvlJc w:val="left"/>
      <w:pPr>
        <w:ind w:left="3348" w:hanging="480"/>
      </w:pPr>
    </w:lvl>
    <w:lvl w:ilvl="7">
      <w:start w:val="1"/>
      <w:numFmt w:val="decimal"/>
      <w:lvlText w:val="(%8)"/>
      <w:lvlJc w:val="left"/>
      <w:pPr>
        <w:ind w:left="3828" w:hanging="480"/>
      </w:pPr>
    </w:lvl>
    <w:lvl w:ilvl="8">
      <w:start w:val="1"/>
      <w:numFmt w:val="lowerRoman"/>
      <w:lvlText w:val="%9."/>
      <w:lvlJc w:val="right"/>
      <w:pPr>
        <w:ind w:left="4308" w:hanging="480"/>
      </w:pPr>
    </w:lvl>
  </w:abstractNum>
  <w:abstractNum w:abstractNumId="3" w15:restartNumberingAfterBreak="0">
    <w:nsid w:val="2824142E"/>
    <w:multiLevelType w:val="hybridMultilevel"/>
    <w:tmpl w:val="377E5A70"/>
    <w:lvl w:ilvl="0" w:tplc="CC32546E">
      <w:start w:val="1"/>
      <w:numFmt w:val="taiwaneseCountingThousand"/>
      <w:lvlText w:val="(%1)"/>
      <w:lvlJc w:val="left"/>
      <w:pPr>
        <w:tabs>
          <w:tab w:val="num" w:pos="1304"/>
        </w:tabs>
        <w:ind w:left="1304" w:hanging="680"/>
      </w:pPr>
      <w:rPr>
        <w:rFonts w:hint="default"/>
      </w:rPr>
    </w:lvl>
    <w:lvl w:ilvl="1" w:tplc="B22CF1E0">
      <w:start w:val="1"/>
      <w:numFmt w:val="decimal"/>
      <w:lvlText w:val="%2."/>
      <w:lvlJc w:val="left"/>
      <w:pPr>
        <w:tabs>
          <w:tab w:val="num" w:pos="1758"/>
        </w:tabs>
        <w:ind w:left="1758" w:hanging="397"/>
      </w:pPr>
      <w:rPr>
        <w:rFonts w:hint="default"/>
      </w:rPr>
    </w:lvl>
    <w:lvl w:ilvl="2" w:tplc="509624A2">
      <w:start w:val="1"/>
      <w:numFmt w:val="taiwaneseCountingThousand"/>
      <w:lvlText w:val="(%3)"/>
      <w:lvlJc w:val="left"/>
      <w:pPr>
        <w:tabs>
          <w:tab w:val="num" w:pos="1553"/>
        </w:tabs>
        <w:ind w:left="1553" w:hanging="680"/>
      </w:pPr>
      <w:rPr>
        <w:rFonts w:hint="default"/>
      </w:rPr>
    </w:lvl>
    <w:lvl w:ilvl="3" w:tplc="F63AA990">
      <w:start w:val="1"/>
      <w:numFmt w:val="taiwaneseCountingThousand"/>
      <w:lvlText w:val="%4、"/>
      <w:lvlJc w:val="left"/>
      <w:pPr>
        <w:tabs>
          <w:tab w:val="num" w:pos="2073"/>
        </w:tabs>
        <w:ind w:left="2073" w:hanging="720"/>
      </w:pPr>
      <w:rPr>
        <w:rFonts w:ascii="Times New Roman" w:hint="default"/>
        <w:color w:val="000000"/>
      </w:rPr>
    </w:lvl>
    <w:lvl w:ilvl="4" w:tplc="04090019" w:tentative="1">
      <w:start w:val="1"/>
      <w:numFmt w:val="ideographTraditional"/>
      <w:lvlText w:val="%5、"/>
      <w:lvlJc w:val="left"/>
      <w:pPr>
        <w:tabs>
          <w:tab w:val="num" w:pos="2313"/>
        </w:tabs>
        <w:ind w:left="2313" w:hanging="480"/>
      </w:pPr>
    </w:lvl>
    <w:lvl w:ilvl="5" w:tplc="0409001B" w:tentative="1">
      <w:start w:val="1"/>
      <w:numFmt w:val="lowerRoman"/>
      <w:lvlText w:val="%6."/>
      <w:lvlJc w:val="right"/>
      <w:pPr>
        <w:tabs>
          <w:tab w:val="num" w:pos="2793"/>
        </w:tabs>
        <w:ind w:left="2793" w:hanging="480"/>
      </w:pPr>
    </w:lvl>
    <w:lvl w:ilvl="6" w:tplc="0409000F" w:tentative="1">
      <w:start w:val="1"/>
      <w:numFmt w:val="decimal"/>
      <w:lvlText w:val="%7."/>
      <w:lvlJc w:val="left"/>
      <w:pPr>
        <w:tabs>
          <w:tab w:val="num" w:pos="3273"/>
        </w:tabs>
        <w:ind w:left="3273" w:hanging="480"/>
      </w:pPr>
    </w:lvl>
    <w:lvl w:ilvl="7" w:tplc="04090019" w:tentative="1">
      <w:start w:val="1"/>
      <w:numFmt w:val="ideographTraditional"/>
      <w:lvlText w:val="%8、"/>
      <w:lvlJc w:val="left"/>
      <w:pPr>
        <w:tabs>
          <w:tab w:val="num" w:pos="3753"/>
        </w:tabs>
        <w:ind w:left="3753" w:hanging="480"/>
      </w:pPr>
    </w:lvl>
    <w:lvl w:ilvl="8" w:tplc="0409001B" w:tentative="1">
      <w:start w:val="1"/>
      <w:numFmt w:val="lowerRoman"/>
      <w:lvlText w:val="%9."/>
      <w:lvlJc w:val="right"/>
      <w:pPr>
        <w:tabs>
          <w:tab w:val="num" w:pos="4233"/>
        </w:tabs>
        <w:ind w:left="4233" w:hanging="480"/>
      </w:pPr>
    </w:lvl>
  </w:abstractNum>
  <w:abstractNum w:abstractNumId="4" w15:restartNumberingAfterBreak="0">
    <w:nsid w:val="306F55D5"/>
    <w:multiLevelType w:val="hybridMultilevel"/>
    <w:tmpl w:val="4CCEEEA6"/>
    <w:lvl w:ilvl="0" w:tplc="5532EF06">
      <w:start w:val="1"/>
      <w:numFmt w:val="decimal"/>
      <w:lvlText w:val="%1."/>
      <w:lvlJc w:val="left"/>
      <w:pPr>
        <w:tabs>
          <w:tab w:val="num" w:pos="1134"/>
        </w:tabs>
        <w:ind w:left="1134" w:hanging="283"/>
      </w:pPr>
      <w:rPr>
        <w:rFonts w:cs="Arial"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5" w15:restartNumberingAfterBreak="0">
    <w:nsid w:val="30EF77E3"/>
    <w:multiLevelType w:val="hybridMultilevel"/>
    <w:tmpl w:val="3620B0B4"/>
    <w:lvl w:ilvl="0" w:tplc="04090013">
      <w:start w:val="1"/>
      <w:numFmt w:val="upperRoman"/>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358E539C"/>
    <w:multiLevelType w:val="hybridMultilevel"/>
    <w:tmpl w:val="88BCF49A"/>
    <w:lvl w:ilvl="0" w:tplc="171CE79E">
      <w:start w:val="1"/>
      <w:numFmt w:val="taiwaneseCountingThousand"/>
      <w:lvlText w:val="(%1)"/>
      <w:lvlJc w:val="left"/>
      <w:pPr>
        <w:tabs>
          <w:tab w:val="num" w:pos="1247"/>
        </w:tabs>
        <w:ind w:left="1247" w:hanging="680"/>
      </w:pPr>
      <w:rPr>
        <w:rFonts w:hint="default"/>
      </w:rPr>
    </w:lvl>
    <w:lvl w:ilvl="1" w:tplc="F29E5E70">
      <w:start w:val="1"/>
      <w:numFmt w:val="taiwaneseCountingThousand"/>
      <w:lvlText w:val="(%2)"/>
      <w:lvlJc w:val="left"/>
      <w:pPr>
        <w:tabs>
          <w:tab w:val="num" w:pos="1304"/>
        </w:tabs>
        <w:ind w:left="1304" w:hanging="680"/>
      </w:pPr>
      <w:rPr>
        <w:rFonts w:hint="default"/>
      </w:rPr>
    </w:lvl>
    <w:lvl w:ilvl="2" w:tplc="AFB681A0">
      <w:start w:val="3"/>
      <w:numFmt w:val="taiwaneseCountingThousand"/>
      <w:lvlText w:val="%3、"/>
      <w:lvlJc w:val="left"/>
      <w:pPr>
        <w:tabs>
          <w:tab w:val="num" w:pos="624"/>
        </w:tabs>
        <w:ind w:left="624" w:hanging="624"/>
      </w:pPr>
      <w:rPr>
        <w:rFonts w:hint="default"/>
        <w:b w:val="0"/>
      </w:rPr>
    </w:lvl>
    <w:lvl w:ilvl="3" w:tplc="7C22C638">
      <w:start w:val="1"/>
      <w:numFmt w:val="taiwaneseCountingThousand"/>
      <w:lvlText w:val="(%4)"/>
      <w:lvlJc w:val="left"/>
      <w:pPr>
        <w:tabs>
          <w:tab w:val="num" w:pos="1304"/>
        </w:tabs>
        <w:ind w:left="1304" w:hanging="680"/>
      </w:pPr>
      <w:rPr>
        <w:rFonts w:hint="default"/>
        <w:b w:val="0"/>
      </w:rPr>
    </w:lvl>
    <w:lvl w:ilvl="4" w:tplc="7C22C638">
      <w:start w:val="1"/>
      <w:numFmt w:val="taiwaneseCountingThousand"/>
      <w:lvlText w:val="(%5)"/>
      <w:lvlJc w:val="left"/>
      <w:pPr>
        <w:tabs>
          <w:tab w:val="num" w:pos="1304"/>
        </w:tabs>
        <w:ind w:left="1304" w:hanging="680"/>
      </w:pPr>
      <w:rPr>
        <w:rFonts w:hint="default"/>
        <w:b w:val="0"/>
      </w:rPr>
    </w:lvl>
    <w:lvl w:ilvl="5" w:tplc="968265DE">
      <w:start w:val="1"/>
      <w:numFmt w:val="taiwaneseCountingThousand"/>
      <w:lvlText w:val="（%6）"/>
      <w:lvlJc w:val="left"/>
      <w:pPr>
        <w:tabs>
          <w:tab w:val="num" w:pos="1304"/>
        </w:tabs>
        <w:ind w:left="1304" w:hanging="6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5F95832"/>
    <w:multiLevelType w:val="hybridMultilevel"/>
    <w:tmpl w:val="359609C6"/>
    <w:lvl w:ilvl="0" w:tplc="B1E07960">
      <w:start w:val="1"/>
      <w:numFmt w:val="decimal"/>
      <w:lvlText w:val="(%1)."/>
      <w:lvlJc w:val="left"/>
      <w:pPr>
        <w:tabs>
          <w:tab w:val="num" w:pos="480"/>
        </w:tabs>
        <w:ind w:left="480" w:hanging="48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8E90C57"/>
    <w:multiLevelType w:val="multilevel"/>
    <w:tmpl w:val="EDAC9402"/>
    <w:lvl w:ilvl="0">
      <w:start w:val="1"/>
      <w:numFmt w:val="decimal"/>
      <w:lvlText w:val="%1."/>
      <w:lvlJc w:val="left"/>
      <w:pPr>
        <w:tabs>
          <w:tab w:val="num" w:pos="1211"/>
        </w:tabs>
        <w:ind w:left="1191" w:hanging="340"/>
      </w:pPr>
      <w:rPr>
        <w:rFonts w:cs="Arial" w:hint="default"/>
      </w:rPr>
    </w:lvl>
    <w:lvl w:ilvl="1">
      <w:start w:val="1"/>
      <w:numFmt w:val="ideographTraditional"/>
      <w:lvlText w:val="%2、"/>
      <w:lvlJc w:val="left"/>
      <w:pPr>
        <w:tabs>
          <w:tab w:val="num" w:pos="946"/>
        </w:tabs>
        <w:ind w:left="946" w:hanging="480"/>
      </w:pPr>
    </w:lvl>
    <w:lvl w:ilvl="2">
      <w:start w:val="1"/>
      <w:numFmt w:val="lowerRoman"/>
      <w:lvlText w:val="%3."/>
      <w:lvlJc w:val="right"/>
      <w:pPr>
        <w:tabs>
          <w:tab w:val="num" w:pos="1426"/>
        </w:tabs>
        <w:ind w:left="1426" w:hanging="480"/>
      </w:pPr>
    </w:lvl>
    <w:lvl w:ilvl="3">
      <w:start w:val="1"/>
      <w:numFmt w:val="decimal"/>
      <w:lvlText w:val="%4."/>
      <w:lvlJc w:val="left"/>
      <w:pPr>
        <w:tabs>
          <w:tab w:val="num" w:pos="1906"/>
        </w:tabs>
        <w:ind w:left="1906" w:hanging="480"/>
      </w:pPr>
    </w:lvl>
    <w:lvl w:ilvl="4">
      <w:start w:val="1"/>
      <w:numFmt w:val="ideographTraditional"/>
      <w:lvlText w:val="%5、"/>
      <w:lvlJc w:val="left"/>
      <w:pPr>
        <w:tabs>
          <w:tab w:val="num" w:pos="2386"/>
        </w:tabs>
        <w:ind w:left="2386" w:hanging="480"/>
      </w:pPr>
    </w:lvl>
    <w:lvl w:ilvl="5">
      <w:start w:val="1"/>
      <w:numFmt w:val="lowerRoman"/>
      <w:lvlText w:val="%6."/>
      <w:lvlJc w:val="right"/>
      <w:pPr>
        <w:tabs>
          <w:tab w:val="num" w:pos="2866"/>
        </w:tabs>
        <w:ind w:left="2866" w:hanging="480"/>
      </w:pPr>
    </w:lvl>
    <w:lvl w:ilvl="6">
      <w:start w:val="1"/>
      <w:numFmt w:val="decimal"/>
      <w:lvlText w:val="%7."/>
      <w:lvlJc w:val="left"/>
      <w:pPr>
        <w:tabs>
          <w:tab w:val="num" w:pos="3346"/>
        </w:tabs>
        <w:ind w:left="3346" w:hanging="480"/>
      </w:pPr>
    </w:lvl>
    <w:lvl w:ilvl="7">
      <w:start w:val="1"/>
      <w:numFmt w:val="ideographTraditional"/>
      <w:lvlText w:val="%8、"/>
      <w:lvlJc w:val="left"/>
      <w:pPr>
        <w:tabs>
          <w:tab w:val="num" w:pos="3826"/>
        </w:tabs>
        <w:ind w:left="3826" w:hanging="480"/>
      </w:pPr>
    </w:lvl>
    <w:lvl w:ilvl="8">
      <w:start w:val="1"/>
      <w:numFmt w:val="lowerRoman"/>
      <w:lvlText w:val="%9."/>
      <w:lvlJc w:val="right"/>
      <w:pPr>
        <w:tabs>
          <w:tab w:val="num" w:pos="4306"/>
        </w:tabs>
        <w:ind w:left="4306" w:hanging="480"/>
      </w:pPr>
    </w:lvl>
  </w:abstractNum>
  <w:abstractNum w:abstractNumId="9" w15:restartNumberingAfterBreak="0">
    <w:nsid w:val="39414277"/>
    <w:multiLevelType w:val="hybridMultilevel"/>
    <w:tmpl w:val="4FFA8558"/>
    <w:lvl w:ilvl="0" w:tplc="CC32546E">
      <w:start w:val="1"/>
      <w:numFmt w:val="taiwaneseCountingThousand"/>
      <w:lvlText w:val="(%1)"/>
      <w:lvlJc w:val="left"/>
      <w:pPr>
        <w:tabs>
          <w:tab w:val="num" w:pos="1304"/>
        </w:tabs>
        <w:ind w:left="1304" w:hanging="680"/>
      </w:pPr>
      <w:rPr>
        <w:rFonts w:hint="default"/>
      </w:rPr>
    </w:lvl>
    <w:lvl w:ilvl="1" w:tplc="505C6206">
      <w:start w:val="1"/>
      <w:numFmt w:val="decimal"/>
      <w:lvlText w:val="%2."/>
      <w:lvlJc w:val="left"/>
      <w:pPr>
        <w:tabs>
          <w:tab w:val="num" w:pos="1758"/>
        </w:tabs>
        <w:ind w:left="1758" w:hanging="397"/>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466E90"/>
    <w:multiLevelType w:val="hybridMultilevel"/>
    <w:tmpl w:val="A1408A6E"/>
    <w:lvl w:ilvl="0" w:tplc="968265DE">
      <w:start w:val="1"/>
      <w:numFmt w:val="taiwaneseCountingThousand"/>
      <w:lvlText w:val="（%1）"/>
      <w:lvlJc w:val="left"/>
      <w:pPr>
        <w:tabs>
          <w:tab w:val="num" w:pos="1292"/>
        </w:tabs>
        <w:ind w:left="1292" w:hanging="680"/>
      </w:pPr>
      <w:rPr>
        <w:rFonts w:hint="default"/>
      </w:rPr>
    </w:lvl>
    <w:lvl w:ilvl="1" w:tplc="04090019">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18B67CBC">
      <w:start w:val="1"/>
      <w:numFmt w:val="taiwaneseCountingThousand"/>
      <w:lvlText w:val="（%6）"/>
      <w:lvlJc w:val="left"/>
      <w:pPr>
        <w:tabs>
          <w:tab w:val="num" w:pos="737"/>
        </w:tabs>
        <w:ind w:left="737" w:hanging="737"/>
      </w:pPr>
      <w:rPr>
        <w:rFonts w:eastAsia="標楷體" w:hint="eastAsia"/>
      </w:rPr>
    </w:lvl>
    <w:lvl w:ilvl="6" w:tplc="0409000F">
      <w:start w:val="1"/>
      <w:numFmt w:val="decimal"/>
      <w:lvlText w:val="%7."/>
      <w:lvlJc w:val="left"/>
      <w:pPr>
        <w:tabs>
          <w:tab w:val="num" w:pos="3348"/>
        </w:tabs>
        <w:ind w:left="3348" w:hanging="480"/>
      </w:pPr>
    </w:lvl>
    <w:lvl w:ilvl="7" w:tplc="21B46FD2">
      <w:start w:val="1"/>
      <w:numFmt w:val="decimal"/>
      <w:lvlText w:val="(%8)"/>
      <w:lvlJc w:val="left"/>
      <w:rPr>
        <w:rFonts w:hint="eastAsia"/>
        <w:color w:val="auto"/>
      </w:rPr>
    </w:lvl>
    <w:lvl w:ilvl="8" w:tplc="0409001B" w:tentative="1">
      <w:start w:val="1"/>
      <w:numFmt w:val="lowerRoman"/>
      <w:lvlText w:val="%9."/>
      <w:lvlJc w:val="right"/>
      <w:pPr>
        <w:tabs>
          <w:tab w:val="num" w:pos="4308"/>
        </w:tabs>
        <w:ind w:left="4308" w:hanging="480"/>
      </w:pPr>
    </w:lvl>
  </w:abstractNum>
  <w:abstractNum w:abstractNumId="11" w15:restartNumberingAfterBreak="0">
    <w:nsid w:val="4CBC0DA0"/>
    <w:multiLevelType w:val="hybridMultilevel"/>
    <w:tmpl w:val="EF10FEEE"/>
    <w:lvl w:ilvl="0" w:tplc="E35008CE">
      <w:start w:val="1"/>
      <w:numFmt w:val="taiwaneseCountingThousand"/>
      <w:lvlText w:val="(%1)"/>
      <w:lvlJc w:val="left"/>
      <w:pPr>
        <w:tabs>
          <w:tab w:val="num" w:pos="1304"/>
        </w:tabs>
        <w:ind w:left="1304" w:hanging="680"/>
      </w:pPr>
      <w:rPr>
        <w:rFonts w:hint="default"/>
        <w:b w:val="0"/>
      </w:rPr>
    </w:lvl>
    <w:lvl w:ilvl="1" w:tplc="7806F230">
      <w:start w:val="6"/>
      <w:numFmt w:val="taiwaneseCountingThousand"/>
      <w:lvlText w:val="%2、"/>
      <w:lvlJc w:val="left"/>
      <w:pPr>
        <w:tabs>
          <w:tab w:val="num" w:pos="624"/>
        </w:tabs>
        <w:ind w:left="624" w:hanging="624"/>
      </w:pPr>
      <w:rPr>
        <w:rFonts w:hint="default"/>
        <w:b w:val="0"/>
      </w:rPr>
    </w:lvl>
    <w:lvl w:ilvl="2" w:tplc="0414C2C0">
      <w:start w:val="1"/>
      <w:numFmt w:val="decimal"/>
      <w:lvlText w:val="%3."/>
      <w:lvlJc w:val="left"/>
      <w:pPr>
        <w:tabs>
          <w:tab w:val="num" w:pos="1998"/>
        </w:tabs>
        <w:ind w:left="1998" w:hanging="1125"/>
      </w:pPr>
      <w:rPr>
        <w:rFonts w:cs="標楷體" w:hint="eastAsia"/>
      </w:rPr>
    </w:lvl>
    <w:lvl w:ilvl="3" w:tplc="8A2EAF6A">
      <w:start w:val="1"/>
      <w:numFmt w:val="taiwaneseCountingThousand"/>
      <w:lvlText w:val="(%4)"/>
      <w:lvlJc w:val="left"/>
      <w:pPr>
        <w:tabs>
          <w:tab w:val="num" w:pos="1304"/>
        </w:tabs>
        <w:ind w:left="1304" w:hanging="680"/>
      </w:pPr>
      <w:rPr>
        <w:rFonts w:hint="default"/>
        <w:b w:val="0"/>
      </w:rPr>
    </w:lvl>
    <w:lvl w:ilvl="4" w:tplc="04090019" w:tentative="1">
      <w:start w:val="1"/>
      <w:numFmt w:val="ideographTraditional"/>
      <w:lvlText w:val="%5、"/>
      <w:lvlJc w:val="left"/>
      <w:pPr>
        <w:tabs>
          <w:tab w:val="num" w:pos="2313"/>
        </w:tabs>
        <w:ind w:left="2313" w:hanging="480"/>
      </w:pPr>
    </w:lvl>
    <w:lvl w:ilvl="5" w:tplc="0409001B" w:tentative="1">
      <w:start w:val="1"/>
      <w:numFmt w:val="lowerRoman"/>
      <w:lvlText w:val="%6."/>
      <w:lvlJc w:val="right"/>
      <w:pPr>
        <w:tabs>
          <w:tab w:val="num" w:pos="2793"/>
        </w:tabs>
        <w:ind w:left="2793" w:hanging="480"/>
      </w:pPr>
    </w:lvl>
    <w:lvl w:ilvl="6" w:tplc="0409000F" w:tentative="1">
      <w:start w:val="1"/>
      <w:numFmt w:val="decimal"/>
      <w:lvlText w:val="%7."/>
      <w:lvlJc w:val="left"/>
      <w:pPr>
        <w:tabs>
          <w:tab w:val="num" w:pos="3273"/>
        </w:tabs>
        <w:ind w:left="3273" w:hanging="480"/>
      </w:pPr>
    </w:lvl>
    <w:lvl w:ilvl="7" w:tplc="04090019" w:tentative="1">
      <w:start w:val="1"/>
      <w:numFmt w:val="ideographTraditional"/>
      <w:lvlText w:val="%8、"/>
      <w:lvlJc w:val="left"/>
      <w:pPr>
        <w:tabs>
          <w:tab w:val="num" w:pos="3753"/>
        </w:tabs>
        <w:ind w:left="3753" w:hanging="480"/>
      </w:pPr>
    </w:lvl>
    <w:lvl w:ilvl="8" w:tplc="0409001B" w:tentative="1">
      <w:start w:val="1"/>
      <w:numFmt w:val="lowerRoman"/>
      <w:lvlText w:val="%9."/>
      <w:lvlJc w:val="right"/>
      <w:pPr>
        <w:tabs>
          <w:tab w:val="num" w:pos="4233"/>
        </w:tabs>
        <w:ind w:left="4233" w:hanging="480"/>
      </w:pPr>
    </w:lvl>
  </w:abstractNum>
  <w:abstractNum w:abstractNumId="12" w15:restartNumberingAfterBreak="0">
    <w:nsid w:val="514F799F"/>
    <w:multiLevelType w:val="hybridMultilevel"/>
    <w:tmpl w:val="B9487ECE"/>
    <w:lvl w:ilvl="0" w:tplc="4BD6E2EC">
      <w:start w:val="1"/>
      <w:numFmt w:val="taiwaneseCountingThousand"/>
      <w:lvlText w:val="%1、"/>
      <w:lvlJc w:val="left"/>
      <w:pPr>
        <w:tabs>
          <w:tab w:val="num" w:pos="624"/>
        </w:tabs>
        <w:ind w:left="624" w:hanging="624"/>
      </w:pPr>
      <w:rPr>
        <w:rFonts w:hint="default"/>
        <w:b w:val="0"/>
      </w:rPr>
    </w:lvl>
    <w:lvl w:ilvl="1" w:tplc="04090019" w:tentative="1">
      <w:start w:val="1"/>
      <w:numFmt w:val="ideographTraditional"/>
      <w:lvlText w:val="%2、"/>
      <w:lvlJc w:val="left"/>
      <w:pPr>
        <w:tabs>
          <w:tab w:val="num" w:pos="960"/>
        </w:tabs>
        <w:ind w:left="960" w:hanging="480"/>
      </w:pPr>
    </w:lvl>
    <w:lvl w:ilvl="2" w:tplc="05B65812">
      <w:start w:val="1"/>
      <w:numFmt w:val="taiwaneseCountingThousand"/>
      <w:lvlText w:val="%3、"/>
      <w:lvlJc w:val="left"/>
      <w:pPr>
        <w:tabs>
          <w:tab w:val="num" w:pos="624"/>
        </w:tabs>
        <w:ind w:left="624" w:hanging="624"/>
      </w:pPr>
      <w:rPr>
        <w:rFonts w:hint="default"/>
        <w:b w:val="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B3D4C4E"/>
    <w:multiLevelType w:val="hybridMultilevel"/>
    <w:tmpl w:val="0F080610"/>
    <w:lvl w:ilvl="0" w:tplc="1F8EDF8A">
      <w:start w:val="1"/>
      <w:numFmt w:val="decimal"/>
      <w:lvlText w:val="%1."/>
      <w:lvlJc w:val="left"/>
      <w:pPr>
        <w:ind w:left="1898" w:hanging="480"/>
      </w:pPr>
      <w:rPr>
        <w:rFonts w:hint="eastAsia"/>
        <w:b w:val="0"/>
        <w:i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7B1E0EB1"/>
    <w:multiLevelType w:val="hybridMultilevel"/>
    <w:tmpl w:val="7CF0690C"/>
    <w:lvl w:ilvl="0" w:tplc="EDEADC74">
      <w:start w:val="1"/>
      <w:numFmt w:val="decimal"/>
      <w:lvlText w:val="%1."/>
      <w:lvlJc w:val="left"/>
      <w:pPr>
        <w:tabs>
          <w:tab w:val="num" w:pos="1588"/>
        </w:tabs>
        <w:ind w:left="1588" w:hanging="284"/>
      </w:pPr>
      <w:rPr>
        <w:rFonts w:hint="default"/>
        <w:b w: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3"/>
  </w:num>
  <w:num w:numId="3">
    <w:abstractNumId w:val="11"/>
  </w:num>
  <w:num w:numId="4">
    <w:abstractNumId w:val="12"/>
  </w:num>
  <w:num w:numId="5">
    <w:abstractNumId w:val="1"/>
  </w:num>
  <w:num w:numId="6">
    <w:abstractNumId w:val="0"/>
  </w:num>
  <w:num w:numId="7">
    <w:abstractNumId w:val="10"/>
  </w:num>
  <w:num w:numId="8">
    <w:abstractNumId w:val="9"/>
  </w:num>
  <w:num w:numId="9">
    <w:abstractNumId w:val="4"/>
  </w:num>
  <w:num w:numId="10">
    <w:abstractNumId w:val="8"/>
  </w:num>
  <w:num w:numId="11">
    <w:abstractNumId w:val="14"/>
  </w:num>
  <w:num w:numId="12">
    <w:abstractNumId w:val="7"/>
  </w:num>
  <w:num w:numId="13">
    <w:abstractNumId w:val="2"/>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93"/>
    <w:rsid w:val="00004F70"/>
    <w:rsid w:val="00005764"/>
    <w:rsid w:val="00030562"/>
    <w:rsid w:val="00030DF1"/>
    <w:rsid w:val="00051D2E"/>
    <w:rsid w:val="00054BF3"/>
    <w:rsid w:val="00070A24"/>
    <w:rsid w:val="00073847"/>
    <w:rsid w:val="000B10CD"/>
    <w:rsid w:val="000D1340"/>
    <w:rsid w:val="000D71EE"/>
    <w:rsid w:val="00114B41"/>
    <w:rsid w:val="001210C8"/>
    <w:rsid w:val="001347E7"/>
    <w:rsid w:val="00135D81"/>
    <w:rsid w:val="00136506"/>
    <w:rsid w:val="00166951"/>
    <w:rsid w:val="001678A3"/>
    <w:rsid w:val="00180384"/>
    <w:rsid w:val="001846F9"/>
    <w:rsid w:val="001946EC"/>
    <w:rsid w:val="001D3678"/>
    <w:rsid w:val="001E0029"/>
    <w:rsid w:val="001E3E6A"/>
    <w:rsid w:val="001E47E3"/>
    <w:rsid w:val="001E518E"/>
    <w:rsid w:val="001F4ACC"/>
    <w:rsid w:val="00201431"/>
    <w:rsid w:val="002029FB"/>
    <w:rsid w:val="00206749"/>
    <w:rsid w:val="00232D6F"/>
    <w:rsid w:val="00233661"/>
    <w:rsid w:val="00244CE9"/>
    <w:rsid w:val="00247057"/>
    <w:rsid w:val="00263C08"/>
    <w:rsid w:val="00281560"/>
    <w:rsid w:val="00283610"/>
    <w:rsid w:val="002954D7"/>
    <w:rsid w:val="002A6852"/>
    <w:rsid w:val="002A6941"/>
    <w:rsid w:val="002D5DC2"/>
    <w:rsid w:val="00300A25"/>
    <w:rsid w:val="003167DA"/>
    <w:rsid w:val="003176D9"/>
    <w:rsid w:val="00317F98"/>
    <w:rsid w:val="00322D2A"/>
    <w:rsid w:val="00324095"/>
    <w:rsid w:val="00327D20"/>
    <w:rsid w:val="003366FB"/>
    <w:rsid w:val="003420C4"/>
    <w:rsid w:val="0038601F"/>
    <w:rsid w:val="003A668F"/>
    <w:rsid w:val="003E3E91"/>
    <w:rsid w:val="003E7246"/>
    <w:rsid w:val="003F0530"/>
    <w:rsid w:val="003F55AE"/>
    <w:rsid w:val="00430690"/>
    <w:rsid w:val="0045035C"/>
    <w:rsid w:val="0045420A"/>
    <w:rsid w:val="00460C59"/>
    <w:rsid w:val="00463FFF"/>
    <w:rsid w:val="00482F7C"/>
    <w:rsid w:val="00494318"/>
    <w:rsid w:val="004B2B92"/>
    <w:rsid w:val="004E5FE8"/>
    <w:rsid w:val="004E6625"/>
    <w:rsid w:val="00501DF2"/>
    <w:rsid w:val="005309DF"/>
    <w:rsid w:val="0053194E"/>
    <w:rsid w:val="005414F4"/>
    <w:rsid w:val="00556DF6"/>
    <w:rsid w:val="00572C92"/>
    <w:rsid w:val="005751EE"/>
    <w:rsid w:val="00592BA6"/>
    <w:rsid w:val="0059341F"/>
    <w:rsid w:val="00596CE3"/>
    <w:rsid w:val="00597015"/>
    <w:rsid w:val="005A486D"/>
    <w:rsid w:val="005B16BE"/>
    <w:rsid w:val="005E1781"/>
    <w:rsid w:val="005F0690"/>
    <w:rsid w:val="00611C46"/>
    <w:rsid w:val="00615DD7"/>
    <w:rsid w:val="006368A4"/>
    <w:rsid w:val="006515FF"/>
    <w:rsid w:val="00664BC0"/>
    <w:rsid w:val="0067187B"/>
    <w:rsid w:val="0067471D"/>
    <w:rsid w:val="00681D76"/>
    <w:rsid w:val="00695131"/>
    <w:rsid w:val="006A274C"/>
    <w:rsid w:val="006A3424"/>
    <w:rsid w:val="006D5332"/>
    <w:rsid w:val="006E6841"/>
    <w:rsid w:val="007139B3"/>
    <w:rsid w:val="00717227"/>
    <w:rsid w:val="007235D7"/>
    <w:rsid w:val="00753032"/>
    <w:rsid w:val="0076498E"/>
    <w:rsid w:val="0079267E"/>
    <w:rsid w:val="007968E6"/>
    <w:rsid w:val="007A7C93"/>
    <w:rsid w:val="007D22F7"/>
    <w:rsid w:val="007D7DEC"/>
    <w:rsid w:val="007E4448"/>
    <w:rsid w:val="00801366"/>
    <w:rsid w:val="0080399B"/>
    <w:rsid w:val="0080689D"/>
    <w:rsid w:val="00807BB7"/>
    <w:rsid w:val="00816F92"/>
    <w:rsid w:val="00824CCE"/>
    <w:rsid w:val="008275D7"/>
    <w:rsid w:val="0083473A"/>
    <w:rsid w:val="008437EB"/>
    <w:rsid w:val="00864556"/>
    <w:rsid w:val="008739A7"/>
    <w:rsid w:val="00875F17"/>
    <w:rsid w:val="0087651F"/>
    <w:rsid w:val="00891036"/>
    <w:rsid w:val="008A03FD"/>
    <w:rsid w:val="008A12D3"/>
    <w:rsid w:val="008A4CEC"/>
    <w:rsid w:val="008B0B8F"/>
    <w:rsid w:val="008B431B"/>
    <w:rsid w:val="008B48D9"/>
    <w:rsid w:val="008E3C21"/>
    <w:rsid w:val="008F5E3C"/>
    <w:rsid w:val="009040F1"/>
    <w:rsid w:val="00930629"/>
    <w:rsid w:val="009334BB"/>
    <w:rsid w:val="00963A85"/>
    <w:rsid w:val="00981CBD"/>
    <w:rsid w:val="009A0F11"/>
    <w:rsid w:val="009A6B84"/>
    <w:rsid w:val="009B088E"/>
    <w:rsid w:val="009B2315"/>
    <w:rsid w:val="009E5F62"/>
    <w:rsid w:val="00A13430"/>
    <w:rsid w:val="00A32E3A"/>
    <w:rsid w:val="00A46455"/>
    <w:rsid w:val="00A57036"/>
    <w:rsid w:val="00A602F5"/>
    <w:rsid w:val="00A664F7"/>
    <w:rsid w:val="00A7494D"/>
    <w:rsid w:val="00A86B28"/>
    <w:rsid w:val="00A87990"/>
    <w:rsid w:val="00AF4106"/>
    <w:rsid w:val="00B26116"/>
    <w:rsid w:val="00B27676"/>
    <w:rsid w:val="00B31274"/>
    <w:rsid w:val="00B93AC5"/>
    <w:rsid w:val="00BC2CA7"/>
    <w:rsid w:val="00BC5B31"/>
    <w:rsid w:val="00BD305F"/>
    <w:rsid w:val="00BD72D2"/>
    <w:rsid w:val="00BE0BC9"/>
    <w:rsid w:val="00BF6D63"/>
    <w:rsid w:val="00C10551"/>
    <w:rsid w:val="00C12DA4"/>
    <w:rsid w:val="00C229B5"/>
    <w:rsid w:val="00C34E11"/>
    <w:rsid w:val="00C3656E"/>
    <w:rsid w:val="00C37EDC"/>
    <w:rsid w:val="00C521BE"/>
    <w:rsid w:val="00C653D8"/>
    <w:rsid w:val="00C678E1"/>
    <w:rsid w:val="00C71676"/>
    <w:rsid w:val="00C72667"/>
    <w:rsid w:val="00C810C4"/>
    <w:rsid w:val="00CB2E44"/>
    <w:rsid w:val="00CC0945"/>
    <w:rsid w:val="00CC17C7"/>
    <w:rsid w:val="00CC3EFA"/>
    <w:rsid w:val="00CD50DE"/>
    <w:rsid w:val="00CE6208"/>
    <w:rsid w:val="00D2623D"/>
    <w:rsid w:val="00D30373"/>
    <w:rsid w:val="00D3182F"/>
    <w:rsid w:val="00D440A4"/>
    <w:rsid w:val="00D44347"/>
    <w:rsid w:val="00D5184A"/>
    <w:rsid w:val="00D52E8E"/>
    <w:rsid w:val="00D53A02"/>
    <w:rsid w:val="00D64075"/>
    <w:rsid w:val="00D66C82"/>
    <w:rsid w:val="00D808DA"/>
    <w:rsid w:val="00D819ED"/>
    <w:rsid w:val="00D82009"/>
    <w:rsid w:val="00D9659A"/>
    <w:rsid w:val="00DB31AF"/>
    <w:rsid w:val="00DC1F45"/>
    <w:rsid w:val="00DD31F5"/>
    <w:rsid w:val="00DD3986"/>
    <w:rsid w:val="00E30C8E"/>
    <w:rsid w:val="00E469A3"/>
    <w:rsid w:val="00E73030"/>
    <w:rsid w:val="00E738A8"/>
    <w:rsid w:val="00E74B3E"/>
    <w:rsid w:val="00E7622E"/>
    <w:rsid w:val="00E80B26"/>
    <w:rsid w:val="00EC0AB7"/>
    <w:rsid w:val="00EC744B"/>
    <w:rsid w:val="00EC7628"/>
    <w:rsid w:val="00ED0EDB"/>
    <w:rsid w:val="00ED5F5C"/>
    <w:rsid w:val="00EE0D6D"/>
    <w:rsid w:val="00EE5D61"/>
    <w:rsid w:val="00F02337"/>
    <w:rsid w:val="00F10897"/>
    <w:rsid w:val="00F25814"/>
    <w:rsid w:val="00F41CF7"/>
    <w:rsid w:val="00F42DE3"/>
    <w:rsid w:val="00F723EA"/>
    <w:rsid w:val="00F93E62"/>
    <w:rsid w:val="00FA3D50"/>
    <w:rsid w:val="00FD6E8C"/>
    <w:rsid w:val="00FE6A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E3496"/>
  <w15:chartTrackingRefBased/>
  <w15:docId w15:val="{19B05E10-9080-457B-AC55-2128BA3E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adjustRightInd w:val="0"/>
      <w:spacing w:line="360" w:lineRule="atLeast"/>
    </w:pPr>
    <w:rPr>
      <w:kern w:val="0"/>
      <w:szCs w:val="20"/>
    </w:rPr>
  </w:style>
  <w:style w:type="paragraph" w:styleId="a5">
    <w:name w:val="Body Text Indent"/>
    <w:basedOn w:val="a"/>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a6">
    <w:name w:val="header"/>
    <w:basedOn w:val="a"/>
    <w:pPr>
      <w:tabs>
        <w:tab w:val="center" w:pos="4153"/>
        <w:tab w:val="right" w:pos="8306"/>
      </w:tabs>
      <w:snapToGrid w:val="0"/>
    </w:pPr>
    <w:rPr>
      <w:sz w:val="20"/>
      <w:szCs w:val="20"/>
    </w:rPr>
  </w:style>
  <w:style w:type="paragraph" w:styleId="a7">
    <w:name w:val="footer"/>
    <w:basedOn w:val="a"/>
    <w:link w:val="a8"/>
    <w:uiPriority w:val="99"/>
    <w:pPr>
      <w:tabs>
        <w:tab w:val="center" w:pos="4153"/>
        <w:tab w:val="right" w:pos="8306"/>
      </w:tabs>
      <w:snapToGrid w:val="0"/>
    </w:pPr>
    <w:rPr>
      <w:sz w:val="20"/>
      <w:szCs w:val="20"/>
    </w:rPr>
  </w:style>
  <w:style w:type="paragraph" w:styleId="a9">
    <w:name w:val="Revision"/>
    <w:hidden/>
    <w:uiPriority w:val="99"/>
    <w:semiHidden/>
    <w:rsid w:val="00B27676"/>
    <w:rPr>
      <w:kern w:val="2"/>
      <w:sz w:val="24"/>
      <w:szCs w:val="24"/>
    </w:rPr>
  </w:style>
  <w:style w:type="character" w:styleId="aa">
    <w:name w:val="annotation reference"/>
    <w:rsid w:val="00B27676"/>
    <w:rPr>
      <w:sz w:val="18"/>
      <w:szCs w:val="18"/>
    </w:rPr>
  </w:style>
  <w:style w:type="paragraph" w:styleId="ab">
    <w:name w:val="annotation subject"/>
    <w:basedOn w:val="a3"/>
    <w:next w:val="a3"/>
    <w:link w:val="ac"/>
    <w:rsid w:val="00B27676"/>
    <w:pPr>
      <w:adjustRightInd/>
      <w:spacing w:line="240" w:lineRule="auto"/>
    </w:pPr>
    <w:rPr>
      <w:b/>
      <w:bCs/>
      <w:kern w:val="2"/>
      <w:szCs w:val="24"/>
    </w:rPr>
  </w:style>
  <w:style w:type="character" w:customStyle="1" w:styleId="a4">
    <w:name w:val="註解文字 字元"/>
    <w:link w:val="a3"/>
    <w:semiHidden/>
    <w:rsid w:val="00B27676"/>
    <w:rPr>
      <w:sz w:val="24"/>
    </w:rPr>
  </w:style>
  <w:style w:type="character" w:customStyle="1" w:styleId="ac">
    <w:name w:val="註解主旨 字元"/>
    <w:link w:val="ab"/>
    <w:rsid w:val="00B27676"/>
    <w:rPr>
      <w:b/>
      <w:bCs/>
      <w:kern w:val="2"/>
      <w:sz w:val="24"/>
      <w:szCs w:val="24"/>
    </w:rPr>
  </w:style>
  <w:style w:type="character" w:customStyle="1" w:styleId="a8">
    <w:name w:val="頁尾 字元"/>
    <w:link w:val="a7"/>
    <w:uiPriority w:val="99"/>
    <w:rsid w:val="002029FB"/>
    <w:rPr>
      <w:kern w:val="2"/>
    </w:rPr>
  </w:style>
  <w:style w:type="paragraph" w:styleId="ad">
    <w:name w:val="Balloon Text"/>
    <w:basedOn w:val="a"/>
    <w:link w:val="ae"/>
    <w:rsid w:val="00247057"/>
    <w:rPr>
      <w:rFonts w:ascii="Calibri Light" w:hAnsi="Calibri Light"/>
      <w:sz w:val="18"/>
      <w:szCs w:val="18"/>
    </w:rPr>
  </w:style>
  <w:style w:type="character" w:customStyle="1" w:styleId="ae">
    <w:name w:val="註解方塊文字 字元"/>
    <w:link w:val="ad"/>
    <w:rsid w:val="00247057"/>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6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1184</Words>
  <Characters>6754</Characters>
  <Application>Microsoft Office Word</Application>
  <DocSecurity>0</DocSecurity>
  <Lines>56</Lines>
  <Paragraphs>15</Paragraphs>
  <ScaleCrop>false</ScaleCrop>
  <Company>NSC</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dc:title>
  <dc:subject/>
  <dc:creator>cwhsu</dc:creator>
  <cp:keywords/>
  <cp:lastModifiedBy>翁組長</cp:lastModifiedBy>
  <cp:revision>4</cp:revision>
  <cp:lastPrinted>2023-05-17T02:30:00Z</cp:lastPrinted>
  <dcterms:created xsi:type="dcterms:W3CDTF">2025-04-17T02:53:00Z</dcterms:created>
  <dcterms:modified xsi:type="dcterms:W3CDTF">2025-04-17T02:58:00Z</dcterms:modified>
</cp:coreProperties>
</file>